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29" w:rsidRPr="006A49FB" w:rsidRDefault="0083073E" w:rsidP="004D7C0A">
      <w:pPr>
        <w:tabs>
          <w:tab w:val="left" w:pos="5011"/>
        </w:tabs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A49FB">
        <w:rPr>
          <w:b/>
          <w:sz w:val="22"/>
          <w:szCs w:val="22"/>
        </w:rPr>
        <w:t xml:space="preserve">Implementierung der </w:t>
      </w:r>
      <w:proofErr w:type="spellStart"/>
      <w:r w:rsidRPr="006A49FB">
        <w:rPr>
          <w:b/>
          <w:i/>
          <w:sz w:val="22"/>
          <w:szCs w:val="22"/>
        </w:rPr>
        <w:t>Extractive</w:t>
      </w:r>
      <w:proofErr w:type="spellEnd"/>
      <w:r w:rsidRPr="006A49FB">
        <w:rPr>
          <w:b/>
          <w:i/>
          <w:sz w:val="22"/>
          <w:szCs w:val="22"/>
        </w:rPr>
        <w:t xml:space="preserve"> Industries </w:t>
      </w:r>
      <w:proofErr w:type="spellStart"/>
      <w:r w:rsidRPr="006A49FB">
        <w:rPr>
          <w:b/>
          <w:i/>
          <w:sz w:val="22"/>
          <w:szCs w:val="22"/>
        </w:rPr>
        <w:t>Transparency</w:t>
      </w:r>
      <w:proofErr w:type="spellEnd"/>
      <w:r w:rsidRPr="006A49FB">
        <w:rPr>
          <w:b/>
          <w:i/>
          <w:sz w:val="22"/>
          <w:szCs w:val="22"/>
        </w:rPr>
        <w:t xml:space="preserve"> Initiative</w:t>
      </w:r>
      <w:r w:rsidR="00155D29" w:rsidRPr="006A49FB">
        <w:rPr>
          <w:b/>
          <w:i/>
          <w:sz w:val="22"/>
          <w:szCs w:val="22"/>
        </w:rPr>
        <w:t xml:space="preserve"> </w:t>
      </w:r>
      <w:r w:rsidR="00155D29" w:rsidRPr="006A49FB">
        <w:rPr>
          <w:b/>
          <w:sz w:val="22"/>
          <w:szCs w:val="22"/>
        </w:rPr>
        <w:t>(EITI)</w:t>
      </w:r>
    </w:p>
    <w:p w:rsidR="0083073E" w:rsidRPr="006A49FB" w:rsidRDefault="0083073E" w:rsidP="0076233A">
      <w:pPr>
        <w:tabs>
          <w:tab w:val="left" w:pos="5011"/>
        </w:tabs>
        <w:spacing w:after="240" w:line="276" w:lineRule="auto"/>
        <w:jc w:val="center"/>
        <w:rPr>
          <w:b/>
          <w:sz w:val="22"/>
          <w:szCs w:val="22"/>
        </w:rPr>
      </w:pPr>
      <w:r w:rsidRPr="006A49FB">
        <w:rPr>
          <w:b/>
          <w:sz w:val="22"/>
          <w:szCs w:val="22"/>
        </w:rPr>
        <w:t>in Deutschland (</w:t>
      </w:r>
      <w:r w:rsidR="00155D29" w:rsidRPr="006A49FB">
        <w:rPr>
          <w:b/>
          <w:sz w:val="22"/>
          <w:szCs w:val="22"/>
        </w:rPr>
        <w:t>D-</w:t>
      </w:r>
      <w:r w:rsidRPr="006A49FB">
        <w:rPr>
          <w:b/>
          <w:sz w:val="22"/>
          <w:szCs w:val="22"/>
        </w:rPr>
        <w:t>EITI)</w:t>
      </w:r>
    </w:p>
    <w:p w:rsidR="0074027B" w:rsidRPr="006A49FB" w:rsidRDefault="004D7C0A" w:rsidP="00E140F1">
      <w:pPr>
        <w:spacing w:line="276" w:lineRule="auto"/>
        <w:jc w:val="center"/>
        <w:rPr>
          <w:rFonts w:cs="ITC Charter Com"/>
          <w:b/>
          <w:sz w:val="22"/>
          <w:szCs w:val="22"/>
        </w:rPr>
      </w:pPr>
      <w:r w:rsidRPr="006A49FB">
        <w:rPr>
          <w:rFonts w:cs="ITC Charter Com"/>
          <w:b/>
          <w:sz w:val="22"/>
          <w:szCs w:val="22"/>
        </w:rPr>
        <w:t>W</w:t>
      </w:r>
      <w:r w:rsidR="006017F6" w:rsidRPr="006A49FB">
        <w:rPr>
          <w:rFonts w:cs="ITC Charter Com"/>
          <w:b/>
          <w:sz w:val="22"/>
          <w:szCs w:val="22"/>
        </w:rPr>
        <w:t>elch</w:t>
      </w:r>
      <w:r w:rsidR="00E140F1" w:rsidRPr="006A49FB">
        <w:rPr>
          <w:rFonts w:cs="ITC Charter Com"/>
          <w:b/>
          <w:sz w:val="22"/>
          <w:szCs w:val="22"/>
        </w:rPr>
        <w:t>e A</w:t>
      </w:r>
      <w:r w:rsidR="006017F6" w:rsidRPr="006A49FB">
        <w:rPr>
          <w:rFonts w:cs="ITC Charter Com"/>
          <w:b/>
          <w:sz w:val="22"/>
          <w:szCs w:val="22"/>
        </w:rPr>
        <w:t xml:space="preserve">bdeckung </w:t>
      </w:r>
      <w:r w:rsidR="00E140F1" w:rsidRPr="006A49FB">
        <w:rPr>
          <w:rFonts w:cs="ITC Charter Com"/>
          <w:b/>
          <w:sz w:val="22"/>
          <w:szCs w:val="22"/>
        </w:rPr>
        <w:t xml:space="preserve">bergfreier Rohstoffe </w:t>
      </w:r>
      <w:r w:rsidR="006017F6" w:rsidRPr="006A49FB">
        <w:rPr>
          <w:rFonts w:cs="ITC Charter Com"/>
          <w:b/>
          <w:sz w:val="22"/>
          <w:szCs w:val="22"/>
        </w:rPr>
        <w:t>wird</w:t>
      </w:r>
      <w:r w:rsidR="00E140F1" w:rsidRPr="006A49FB">
        <w:rPr>
          <w:rFonts w:cs="ITC Charter Com"/>
          <w:b/>
          <w:sz w:val="22"/>
          <w:szCs w:val="22"/>
        </w:rPr>
        <w:t xml:space="preserve"> bei einer Berichtspflicht</w:t>
      </w:r>
    </w:p>
    <w:p w:rsidR="004D7C0A" w:rsidRPr="006A49FB" w:rsidRDefault="004D226D" w:rsidP="0074027B">
      <w:pPr>
        <w:spacing w:after="240" w:line="276" w:lineRule="auto"/>
        <w:jc w:val="center"/>
        <w:rPr>
          <w:rFonts w:cs="ITC Charter Com"/>
          <w:b/>
          <w:sz w:val="22"/>
          <w:szCs w:val="22"/>
        </w:rPr>
      </w:pPr>
      <w:r w:rsidRPr="006A49FB">
        <w:rPr>
          <w:rFonts w:cs="ITC Charter Com"/>
          <w:b/>
          <w:sz w:val="22"/>
          <w:szCs w:val="22"/>
        </w:rPr>
        <w:t xml:space="preserve">nach </w:t>
      </w:r>
      <w:r w:rsidR="006D0831" w:rsidRPr="006A49FB">
        <w:rPr>
          <w:rFonts w:cs="ITC Charter Com"/>
          <w:b/>
          <w:sz w:val="22"/>
          <w:szCs w:val="22"/>
        </w:rPr>
        <w:t>der EITI</w:t>
      </w:r>
      <w:r w:rsidR="0074027B" w:rsidRPr="006A49FB">
        <w:rPr>
          <w:rFonts w:cs="ITC Charter Com"/>
          <w:b/>
          <w:sz w:val="22"/>
          <w:szCs w:val="22"/>
        </w:rPr>
        <w:t xml:space="preserve"> </w:t>
      </w:r>
      <w:r w:rsidR="00E140F1" w:rsidRPr="006A49FB">
        <w:rPr>
          <w:rFonts w:cs="ITC Charter Com"/>
          <w:b/>
          <w:sz w:val="22"/>
          <w:szCs w:val="22"/>
        </w:rPr>
        <w:t xml:space="preserve">unter Anwendung der </w:t>
      </w:r>
      <w:r w:rsidR="004D7C0A" w:rsidRPr="006A49FB">
        <w:rPr>
          <w:rFonts w:cs="ITC Charter Com"/>
          <w:b/>
          <w:sz w:val="22"/>
          <w:szCs w:val="22"/>
        </w:rPr>
        <w:t>Kriterien der EU-Bilanzrichtlinie</w:t>
      </w:r>
      <w:r w:rsidR="006017F6" w:rsidRPr="006A49FB">
        <w:rPr>
          <w:rFonts w:cs="ITC Charter Com"/>
          <w:b/>
          <w:sz w:val="22"/>
          <w:szCs w:val="22"/>
        </w:rPr>
        <w:t xml:space="preserve"> erreicht</w:t>
      </w:r>
      <w:r w:rsidR="004D7C0A" w:rsidRPr="006A49FB">
        <w:rPr>
          <w:rFonts w:cs="ITC Charter Com"/>
          <w:b/>
          <w:sz w:val="22"/>
          <w:szCs w:val="22"/>
        </w:rPr>
        <w:t>?</w:t>
      </w:r>
      <w:r w:rsidR="005B1EDE" w:rsidRPr="006A49FB">
        <w:rPr>
          <w:rStyle w:val="Funotenzeichen"/>
          <w:rFonts w:cs="ITC Charter Com"/>
          <w:b/>
          <w:sz w:val="22"/>
          <w:szCs w:val="22"/>
        </w:rPr>
        <w:footnoteReference w:id="1"/>
      </w:r>
    </w:p>
    <w:p w:rsidR="004D7C0A" w:rsidRPr="004D7C0A" w:rsidRDefault="004D7C0A" w:rsidP="00615A43">
      <w:pPr>
        <w:spacing w:before="120" w:after="120" w:line="276" w:lineRule="auto"/>
        <w:jc w:val="both"/>
        <w:rPr>
          <w:rFonts w:cs="ITC Charter Com"/>
          <w:b/>
          <w:sz w:val="22"/>
          <w:szCs w:val="22"/>
        </w:rPr>
      </w:pPr>
      <w:r w:rsidRPr="004D7C0A">
        <w:rPr>
          <w:rFonts w:cs="ITC Charter Com"/>
          <w:b/>
          <w:sz w:val="22"/>
          <w:szCs w:val="22"/>
        </w:rPr>
        <w:t>Auswahl relevanter</w:t>
      </w:r>
      <w:r w:rsidR="00F46784">
        <w:rPr>
          <w:rFonts w:cs="ITC Charter Com"/>
          <w:b/>
          <w:sz w:val="22"/>
          <w:szCs w:val="22"/>
        </w:rPr>
        <w:t xml:space="preserve"> </w:t>
      </w:r>
      <w:r w:rsidRPr="004D7C0A">
        <w:rPr>
          <w:rFonts w:cs="ITC Charter Com"/>
          <w:b/>
          <w:sz w:val="22"/>
          <w:szCs w:val="22"/>
        </w:rPr>
        <w:t>Unternehmen</w:t>
      </w:r>
    </w:p>
    <w:p w:rsidR="005C72F3" w:rsidRDefault="004D7C0A" w:rsidP="005C72F3">
      <w:pPr>
        <w:spacing w:after="120" w:line="276" w:lineRule="auto"/>
        <w:jc w:val="both"/>
        <w:rPr>
          <w:rFonts w:cs="ITC Charter Com"/>
          <w:sz w:val="22"/>
          <w:szCs w:val="22"/>
        </w:rPr>
      </w:pPr>
      <w:r w:rsidRPr="004D7C0A">
        <w:rPr>
          <w:rFonts w:cs="ITC Charter Com"/>
          <w:sz w:val="22"/>
          <w:szCs w:val="22"/>
        </w:rPr>
        <w:t>In Deutschlan</w:t>
      </w:r>
      <w:r w:rsidR="000E5BC7">
        <w:rPr>
          <w:rFonts w:cs="ITC Charter Com"/>
          <w:sz w:val="22"/>
          <w:szCs w:val="22"/>
        </w:rPr>
        <w:t>d</w:t>
      </w:r>
      <w:r w:rsidRPr="004D7C0A">
        <w:rPr>
          <w:rFonts w:cs="ITC Charter Com"/>
          <w:sz w:val="22"/>
          <w:szCs w:val="22"/>
        </w:rPr>
        <w:t xml:space="preserve"> können</w:t>
      </w:r>
      <w:r>
        <w:rPr>
          <w:rFonts w:cs="ITC Charter Com"/>
          <w:b/>
          <w:sz w:val="22"/>
          <w:szCs w:val="22"/>
        </w:rPr>
        <w:t xml:space="preserve"> </w:t>
      </w:r>
      <w:r w:rsidRPr="00963AA5">
        <w:rPr>
          <w:rFonts w:cs="ITC Charter Com"/>
          <w:b/>
          <w:sz w:val="22"/>
          <w:szCs w:val="22"/>
        </w:rPr>
        <w:t>3151 Unternehmen</w:t>
      </w:r>
      <w:r w:rsidRPr="004D7C0A">
        <w:rPr>
          <w:rFonts w:cs="ITC Charter Com"/>
          <w:sz w:val="22"/>
          <w:szCs w:val="22"/>
        </w:rPr>
        <w:t xml:space="preserve"> </w:t>
      </w:r>
      <w:r w:rsidR="005C72F3">
        <w:rPr>
          <w:rFonts w:cs="ITC Charter Com"/>
          <w:sz w:val="22"/>
          <w:szCs w:val="22"/>
        </w:rPr>
        <w:t>über die NACE-Kategorisierung (</w:t>
      </w:r>
      <w:r w:rsidR="005C72F3" w:rsidRPr="004D7C0A">
        <w:rPr>
          <w:rFonts w:cs="ITC Charter Com"/>
          <w:sz w:val="22"/>
          <w:szCs w:val="22"/>
        </w:rPr>
        <w:t>NACE-Kategorien 05-08</w:t>
      </w:r>
      <w:r w:rsidR="005C72F3">
        <w:rPr>
          <w:rFonts w:cs="ITC Charter Com"/>
          <w:sz w:val="22"/>
          <w:szCs w:val="22"/>
        </w:rPr>
        <w:t>)</w:t>
      </w:r>
      <w:r w:rsidR="005C72F3" w:rsidRPr="004D7C0A">
        <w:rPr>
          <w:rFonts w:cs="ITC Charter Com"/>
          <w:sz w:val="22"/>
          <w:szCs w:val="22"/>
        </w:rPr>
        <w:t xml:space="preserve"> </w:t>
      </w:r>
      <w:r w:rsidRPr="004D7C0A">
        <w:rPr>
          <w:rFonts w:cs="ITC Charter Com"/>
          <w:sz w:val="22"/>
          <w:szCs w:val="22"/>
        </w:rPr>
        <w:t xml:space="preserve">in ihrer Haupt- oder Nebentätigkeit einem dem </w:t>
      </w:r>
      <w:r w:rsidRPr="008222D4">
        <w:rPr>
          <w:rFonts w:cs="ITC Charter Com"/>
          <w:b/>
          <w:sz w:val="22"/>
          <w:szCs w:val="22"/>
        </w:rPr>
        <w:t>Rohstoffsektor zuge</w:t>
      </w:r>
      <w:r w:rsidR="00963AA5" w:rsidRPr="008222D4">
        <w:rPr>
          <w:rFonts w:cs="ITC Charter Com"/>
          <w:b/>
          <w:sz w:val="22"/>
          <w:szCs w:val="22"/>
        </w:rPr>
        <w:t>hörigen Wir</w:t>
      </w:r>
      <w:r w:rsidR="00963AA5" w:rsidRPr="008222D4">
        <w:rPr>
          <w:rFonts w:cs="ITC Charter Com"/>
          <w:b/>
          <w:sz w:val="22"/>
          <w:szCs w:val="22"/>
        </w:rPr>
        <w:t>t</w:t>
      </w:r>
      <w:r w:rsidR="00963AA5" w:rsidRPr="008222D4">
        <w:rPr>
          <w:rFonts w:cs="ITC Charter Com"/>
          <w:b/>
          <w:sz w:val="22"/>
          <w:szCs w:val="22"/>
        </w:rPr>
        <w:t>schaftszweig</w:t>
      </w:r>
      <w:r w:rsidR="00963AA5">
        <w:rPr>
          <w:rFonts w:cs="ITC Charter Com"/>
          <w:sz w:val="22"/>
          <w:szCs w:val="22"/>
        </w:rPr>
        <w:t xml:space="preserve"> </w:t>
      </w:r>
      <w:r w:rsidRPr="004D7C0A">
        <w:rPr>
          <w:rFonts w:cs="ITC Charter Com"/>
          <w:sz w:val="22"/>
          <w:szCs w:val="22"/>
        </w:rPr>
        <w:t>zugeordnet werden.</w:t>
      </w:r>
      <w:r w:rsidR="00963AA5">
        <w:rPr>
          <w:rFonts w:cs="ITC Charter Com"/>
          <w:sz w:val="22"/>
          <w:szCs w:val="22"/>
        </w:rPr>
        <w:t xml:space="preserve"> </w:t>
      </w:r>
      <w:r>
        <w:rPr>
          <w:rFonts w:cs="ITC Charter Com"/>
          <w:sz w:val="22"/>
          <w:szCs w:val="22"/>
        </w:rPr>
        <w:t xml:space="preserve">Von diesen Unternehmen entsprechen </w:t>
      </w:r>
      <w:r w:rsidRPr="004D7C0A">
        <w:rPr>
          <w:rFonts w:cs="ITC Charter Com"/>
          <w:b/>
          <w:sz w:val="22"/>
          <w:szCs w:val="22"/>
        </w:rPr>
        <w:t>82</w:t>
      </w:r>
      <w:r>
        <w:rPr>
          <w:rFonts w:cs="ITC Charter Com"/>
          <w:sz w:val="22"/>
          <w:szCs w:val="22"/>
        </w:rPr>
        <w:t xml:space="preserve"> de</w:t>
      </w:r>
      <w:r w:rsidR="00615A43">
        <w:rPr>
          <w:rFonts w:cs="ITC Charter Com"/>
          <w:sz w:val="22"/>
          <w:szCs w:val="22"/>
        </w:rPr>
        <w:t>r</w:t>
      </w:r>
      <w:r>
        <w:rPr>
          <w:rFonts w:cs="ITC Charter Com"/>
          <w:sz w:val="22"/>
          <w:szCs w:val="22"/>
        </w:rPr>
        <w:t xml:space="preserve"> </w:t>
      </w:r>
      <w:r w:rsidR="00615A43">
        <w:rPr>
          <w:rFonts w:cs="ITC Charter Com"/>
          <w:sz w:val="22"/>
          <w:szCs w:val="22"/>
        </w:rPr>
        <w:t xml:space="preserve">Klassifikation </w:t>
      </w:r>
      <w:r w:rsidR="00615A43" w:rsidRPr="008222D4">
        <w:rPr>
          <w:rFonts w:cs="ITC Charter Com"/>
          <w:b/>
          <w:sz w:val="22"/>
          <w:szCs w:val="22"/>
        </w:rPr>
        <w:t xml:space="preserve">„groß“ im Sinne </w:t>
      </w:r>
      <w:r w:rsidRPr="008222D4">
        <w:rPr>
          <w:rFonts w:cs="ITC Charter Com"/>
          <w:b/>
          <w:sz w:val="22"/>
          <w:szCs w:val="22"/>
        </w:rPr>
        <w:t>der EU-Bilanzrichtlinie</w:t>
      </w:r>
      <w:r w:rsidR="000E5BC7">
        <w:rPr>
          <w:rFonts w:cs="ITC Charter Com"/>
          <w:sz w:val="22"/>
          <w:szCs w:val="22"/>
        </w:rPr>
        <w:t xml:space="preserve"> </w:t>
      </w:r>
      <w:r w:rsidRPr="004D7C0A">
        <w:rPr>
          <w:rFonts w:cs="ITC Charter Com"/>
          <w:sz w:val="22"/>
          <w:szCs w:val="22"/>
        </w:rPr>
        <w:t>(wenn</w:t>
      </w:r>
      <w:r>
        <w:rPr>
          <w:rFonts w:cs="ITC Charter Com"/>
          <w:sz w:val="22"/>
          <w:szCs w:val="22"/>
        </w:rPr>
        <w:t xml:space="preserve"> </w:t>
      </w:r>
      <w:r w:rsidRPr="004D7C0A">
        <w:rPr>
          <w:rFonts w:cs="ITC Charter Com"/>
          <w:sz w:val="22"/>
          <w:szCs w:val="22"/>
        </w:rPr>
        <w:t>ein Unternehmen am Bilanzstichtag minde</w:t>
      </w:r>
      <w:r w:rsidRPr="004D7C0A">
        <w:rPr>
          <w:rFonts w:cs="ITC Charter Com"/>
          <w:sz w:val="22"/>
          <w:szCs w:val="22"/>
        </w:rPr>
        <w:t>s</w:t>
      </w:r>
      <w:r w:rsidRPr="004D7C0A">
        <w:rPr>
          <w:rFonts w:cs="ITC Charter Com"/>
          <w:sz w:val="22"/>
          <w:szCs w:val="22"/>
        </w:rPr>
        <w:t>tens zwei der folgenden drei Kriterien überschreitet:</w:t>
      </w:r>
      <w:r>
        <w:rPr>
          <w:rFonts w:cs="ITC Charter Com"/>
          <w:sz w:val="22"/>
          <w:szCs w:val="22"/>
        </w:rPr>
        <w:t xml:space="preserve"> </w:t>
      </w:r>
      <w:r w:rsidRPr="004D7C0A">
        <w:rPr>
          <w:rFonts w:cs="ITC Charter Com"/>
          <w:sz w:val="22"/>
          <w:szCs w:val="22"/>
        </w:rPr>
        <w:t>1. Bilanzsumme von 20 Mio</w:t>
      </w:r>
      <w:r>
        <w:rPr>
          <w:rFonts w:cs="ITC Charter Com"/>
          <w:sz w:val="22"/>
          <w:szCs w:val="22"/>
        </w:rPr>
        <w:t>.</w:t>
      </w:r>
      <w:r w:rsidR="00963AA5">
        <w:rPr>
          <w:rFonts w:cs="ITC Charter Com"/>
          <w:sz w:val="22"/>
          <w:szCs w:val="22"/>
        </w:rPr>
        <w:t xml:space="preserve"> EUR,</w:t>
      </w:r>
      <w:r w:rsidRPr="004D7C0A">
        <w:rPr>
          <w:rFonts w:cs="ITC Charter Com"/>
          <w:sz w:val="22"/>
          <w:szCs w:val="22"/>
        </w:rPr>
        <w:t xml:space="preserve"> 2. Nett</w:t>
      </w:r>
      <w:r w:rsidRPr="004D7C0A">
        <w:rPr>
          <w:rFonts w:cs="ITC Charter Com"/>
          <w:sz w:val="22"/>
          <w:szCs w:val="22"/>
        </w:rPr>
        <w:t>o</w:t>
      </w:r>
      <w:r w:rsidRPr="004D7C0A">
        <w:rPr>
          <w:rFonts w:cs="ITC Charter Com"/>
          <w:sz w:val="22"/>
          <w:szCs w:val="22"/>
        </w:rPr>
        <w:t>umsatzerlöse von 40 Mio. EUR</w:t>
      </w:r>
      <w:r w:rsidR="00963AA5">
        <w:rPr>
          <w:rFonts w:cs="ITC Charter Com"/>
          <w:sz w:val="22"/>
          <w:szCs w:val="22"/>
        </w:rPr>
        <w:t>,</w:t>
      </w:r>
      <w:r w:rsidRPr="004D7C0A">
        <w:rPr>
          <w:rFonts w:cs="ITC Charter Com"/>
          <w:sz w:val="22"/>
          <w:szCs w:val="22"/>
        </w:rPr>
        <w:t xml:space="preserve"> 3. im Jahresdurch</w:t>
      </w:r>
      <w:r>
        <w:rPr>
          <w:rFonts w:cs="ITC Charter Com"/>
          <w:sz w:val="22"/>
          <w:szCs w:val="22"/>
        </w:rPr>
        <w:t xml:space="preserve">schnitt </w:t>
      </w:r>
      <w:r w:rsidRPr="004D7C0A">
        <w:rPr>
          <w:rFonts w:cs="ITC Charter Com"/>
          <w:sz w:val="22"/>
          <w:szCs w:val="22"/>
        </w:rPr>
        <w:t>250 Beschäftigte).</w:t>
      </w:r>
      <w:r>
        <w:rPr>
          <w:rFonts w:cs="ITC Charter Com"/>
          <w:sz w:val="22"/>
          <w:szCs w:val="22"/>
        </w:rPr>
        <w:t xml:space="preserve"> </w:t>
      </w:r>
      <w:r w:rsidR="008E4B2E">
        <w:rPr>
          <w:rFonts w:cs="ITC Charter Com"/>
          <w:sz w:val="22"/>
          <w:szCs w:val="22"/>
        </w:rPr>
        <w:t>Von diesen Unte</w:t>
      </w:r>
      <w:r w:rsidR="008E4B2E">
        <w:rPr>
          <w:rFonts w:cs="ITC Charter Com"/>
          <w:sz w:val="22"/>
          <w:szCs w:val="22"/>
        </w:rPr>
        <w:t>r</w:t>
      </w:r>
      <w:r w:rsidR="008E4B2E">
        <w:rPr>
          <w:rFonts w:cs="ITC Charter Com"/>
          <w:sz w:val="22"/>
          <w:szCs w:val="22"/>
        </w:rPr>
        <w:t xml:space="preserve">nehmen </w:t>
      </w:r>
      <w:r w:rsidR="005C72F3">
        <w:rPr>
          <w:rFonts w:cs="ITC Charter Com"/>
          <w:sz w:val="22"/>
          <w:szCs w:val="22"/>
        </w:rPr>
        <w:t xml:space="preserve">wiederum </w:t>
      </w:r>
      <w:r w:rsidR="008E4B2E">
        <w:rPr>
          <w:rFonts w:cs="ITC Charter Com"/>
          <w:sz w:val="22"/>
          <w:szCs w:val="22"/>
        </w:rPr>
        <w:t xml:space="preserve">sind </w:t>
      </w:r>
      <w:r w:rsidR="008E4B2E" w:rsidRPr="008E4B2E">
        <w:rPr>
          <w:rFonts w:cs="ITC Charter Com"/>
          <w:b/>
          <w:sz w:val="22"/>
          <w:szCs w:val="22"/>
        </w:rPr>
        <w:t>50</w:t>
      </w:r>
      <w:r w:rsidR="008E4B2E">
        <w:rPr>
          <w:rFonts w:cs="ITC Charter Com"/>
          <w:sz w:val="22"/>
          <w:szCs w:val="22"/>
        </w:rPr>
        <w:t xml:space="preserve"> mit der Förderung </w:t>
      </w:r>
      <w:r w:rsidR="008E4B2E" w:rsidRPr="008E4B2E">
        <w:rPr>
          <w:rFonts w:cs="ITC Charter Com"/>
          <w:b/>
          <w:sz w:val="22"/>
          <w:szCs w:val="22"/>
        </w:rPr>
        <w:t>grundeigener Bodenschätze</w:t>
      </w:r>
      <w:r w:rsidR="008E4B2E">
        <w:rPr>
          <w:rFonts w:cs="ITC Charter Com"/>
          <w:sz w:val="22"/>
          <w:szCs w:val="22"/>
        </w:rPr>
        <w:t xml:space="preserve"> und </w:t>
      </w:r>
      <w:r w:rsidR="008E4B2E" w:rsidRPr="008E4B2E">
        <w:rPr>
          <w:rFonts w:cs="ITC Charter Com"/>
          <w:b/>
          <w:sz w:val="22"/>
          <w:szCs w:val="22"/>
        </w:rPr>
        <w:t>32</w:t>
      </w:r>
      <w:r w:rsidR="008E4B2E">
        <w:rPr>
          <w:rFonts w:cs="ITC Charter Com"/>
          <w:sz w:val="22"/>
          <w:szCs w:val="22"/>
        </w:rPr>
        <w:t xml:space="preserve"> mit der Förderung </w:t>
      </w:r>
      <w:r w:rsidR="008E4B2E" w:rsidRPr="008E4B2E">
        <w:rPr>
          <w:rFonts w:cs="ITC Charter Com"/>
          <w:b/>
          <w:sz w:val="22"/>
          <w:szCs w:val="22"/>
        </w:rPr>
        <w:t>bergfreier Rohstoffe</w:t>
      </w:r>
      <w:r w:rsidR="008E4B2E">
        <w:rPr>
          <w:rFonts w:cs="ITC Charter Com"/>
          <w:sz w:val="22"/>
          <w:szCs w:val="22"/>
        </w:rPr>
        <w:t xml:space="preserve"> betraut.</w:t>
      </w:r>
    </w:p>
    <w:p w:rsidR="005C72F3" w:rsidRPr="008F6AB9" w:rsidRDefault="005C72F3" w:rsidP="006A3743">
      <w:pPr>
        <w:spacing w:after="240" w:line="276" w:lineRule="auto"/>
        <w:jc w:val="both"/>
        <w:rPr>
          <w:rFonts w:cs="ITC Charter Com"/>
          <w:sz w:val="22"/>
          <w:szCs w:val="22"/>
        </w:rPr>
      </w:pPr>
      <w:r>
        <w:rPr>
          <w:rFonts w:cs="ITC Charter Com"/>
          <w:sz w:val="22"/>
          <w:szCs w:val="22"/>
        </w:rPr>
        <w:t xml:space="preserve">Laut Informationen der Bundesanstalt für Geowissenschaften und Rohstoffe </w:t>
      </w:r>
      <w:r w:rsidR="009F0928">
        <w:rPr>
          <w:rFonts w:cs="ITC Charter Com"/>
          <w:sz w:val="22"/>
          <w:szCs w:val="22"/>
        </w:rPr>
        <w:t xml:space="preserve">(BGR) </w:t>
      </w:r>
      <w:r>
        <w:rPr>
          <w:rFonts w:cs="ITC Charter Com"/>
          <w:sz w:val="22"/>
          <w:szCs w:val="22"/>
        </w:rPr>
        <w:t xml:space="preserve">sind von diesen </w:t>
      </w:r>
      <w:r w:rsidRPr="00354540">
        <w:rPr>
          <w:rFonts w:cs="ITC Charter Com"/>
          <w:b/>
          <w:sz w:val="22"/>
          <w:szCs w:val="22"/>
        </w:rPr>
        <w:t>32</w:t>
      </w:r>
      <w:r>
        <w:rPr>
          <w:rFonts w:cs="ITC Charter Com"/>
          <w:sz w:val="22"/>
          <w:szCs w:val="22"/>
        </w:rPr>
        <w:t xml:space="preserve"> Unternehmen</w:t>
      </w:r>
      <w:r w:rsidR="00722AFD">
        <w:rPr>
          <w:rFonts w:cs="ITC Charter Com"/>
          <w:sz w:val="22"/>
          <w:szCs w:val="22"/>
        </w:rPr>
        <w:t xml:space="preserve"> </w:t>
      </w:r>
      <w:r w:rsidR="00354540">
        <w:rPr>
          <w:rFonts w:cs="ITC Charter Com"/>
          <w:sz w:val="22"/>
          <w:szCs w:val="22"/>
        </w:rPr>
        <w:t>zwölf</w:t>
      </w:r>
      <w:r w:rsidR="00722AFD" w:rsidRPr="00BA687D">
        <w:rPr>
          <w:rFonts w:cs="ITC Charter Com"/>
          <w:sz w:val="22"/>
          <w:szCs w:val="22"/>
        </w:rPr>
        <w:t xml:space="preserve"> nicht in der Rohstoffförderung in Deutschland tätig, ein weiteres Unternehmen ist nicht mehr aktiv. </w:t>
      </w:r>
      <w:r w:rsidR="00887A82">
        <w:rPr>
          <w:rFonts w:cs="ITC Charter Com"/>
          <w:sz w:val="22"/>
          <w:szCs w:val="22"/>
        </w:rPr>
        <w:t xml:space="preserve">Die Liste reduziert sich somit vorerst auf </w:t>
      </w:r>
      <w:r w:rsidR="00887A82" w:rsidRPr="00354540">
        <w:rPr>
          <w:rFonts w:cs="ITC Charter Com"/>
          <w:b/>
          <w:sz w:val="22"/>
          <w:szCs w:val="22"/>
        </w:rPr>
        <w:t>19</w:t>
      </w:r>
      <w:r w:rsidR="00887A82">
        <w:rPr>
          <w:rFonts w:cs="ITC Charter Com"/>
          <w:sz w:val="22"/>
          <w:szCs w:val="22"/>
        </w:rPr>
        <w:t xml:space="preserve"> nach NACE-Kategorisierung tätige Unternehmen. </w:t>
      </w:r>
      <w:r w:rsidR="003E48D4">
        <w:rPr>
          <w:rFonts w:cs="ITC Charter Com"/>
          <w:sz w:val="22"/>
          <w:szCs w:val="22"/>
        </w:rPr>
        <w:t>Sieben</w:t>
      </w:r>
      <w:r w:rsidR="00523AEE">
        <w:rPr>
          <w:rFonts w:cs="ITC Charter Com"/>
          <w:sz w:val="22"/>
          <w:szCs w:val="22"/>
        </w:rPr>
        <w:t xml:space="preserve"> Unternehmen, die weder mit ihrer Haupt- noch mit ihrer Nebentätigkeit den NACE-Kategorien 05-08 zugeordnet werden können, </w:t>
      </w:r>
      <w:r w:rsidR="009E0DA4">
        <w:rPr>
          <w:rFonts w:cs="ITC Charter Com"/>
          <w:sz w:val="22"/>
          <w:szCs w:val="22"/>
        </w:rPr>
        <w:t>welche jedoch als „große“ Unternehmen</w:t>
      </w:r>
      <w:r w:rsidR="00BA687D">
        <w:rPr>
          <w:rFonts w:cs="ITC Charter Com"/>
          <w:sz w:val="22"/>
          <w:szCs w:val="22"/>
        </w:rPr>
        <w:t xml:space="preserve"> </w:t>
      </w:r>
      <w:r w:rsidR="00705B3B">
        <w:rPr>
          <w:rFonts w:cs="ITC Charter Com"/>
          <w:sz w:val="22"/>
          <w:szCs w:val="22"/>
        </w:rPr>
        <w:t xml:space="preserve">mit der Förderung heimischer bergfreier Rohstoffe betraut sind, </w:t>
      </w:r>
      <w:r w:rsidR="00523AEE">
        <w:rPr>
          <w:rFonts w:cs="ITC Charter Com"/>
          <w:sz w:val="22"/>
          <w:szCs w:val="22"/>
        </w:rPr>
        <w:t xml:space="preserve">werden gleichzeitig der Liste zugerechnet. </w:t>
      </w:r>
      <w:r w:rsidR="00722AFD">
        <w:rPr>
          <w:rFonts w:cs="ITC Charter Com"/>
          <w:sz w:val="22"/>
          <w:szCs w:val="22"/>
        </w:rPr>
        <w:t>Insgesamt können auf diese Wei</w:t>
      </w:r>
      <w:r w:rsidR="00202C56">
        <w:rPr>
          <w:rFonts w:cs="ITC Charter Com"/>
          <w:sz w:val="22"/>
          <w:szCs w:val="22"/>
        </w:rPr>
        <w:t>se</w:t>
      </w:r>
      <w:r w:rsidR="00722AFD">
        <w:rPr>
          <w:rFonts w:cs="ITC Charter Com"/>
          <w:sz w:val="22"/>
          <w:szCs w:val="22"/>
        </w:rPr>
        <w:t xml:space="preserve"> </w:t>
      </w:r>
      <w:r w:rsidR="00722AFD" w:rsidRPr="00BA687D">
        <w:rPr>
          <w:rFonts w:cs="ITC Charter Com"/>
          <w:b/>
          <w:sz w:val="22"/>
          <w:szCs w:val="22"/>
        </w:rPr>
        <w:t xml:space="preserve">26 </w:t>
      </w:r>
      <w:r w:rsidR="00202C56">
        <w:rPr>
          <w:rFonts w:cs="ITC Charter Com"/>
          <w:b/>
          <w:sz w:val="22"/>
          <w:szCs w:val="22"/>
        </w:rPr>
        <w:t xml:space="preserve">„große“ </w:t>
      </w:r>
      <w:r w:rsidR="00722AFD" w:rsidRPr="00BA687D">
        <w:rPr>
          <w:rFonts w:cs="ITC Charter Com"/>
          <w:b/>
          <w:sz w:val="22"/>
          <w:szCs w:val="22"/>
        </w:rPr>
        <w:t>Unternehmen</w:t>
      </w:r>
      <w:r w:rsidR="00722AFD">
        <w:rPr>
          <w:rFonts w:cs="ITC Charter Com"/>
          <w:sz w:val="22"/>
          <w:szCs w:val="22"/>
        </w:rPr>
        <w:t xml:space="preserve"> identifiziert werden, welche in Deutschland mit dem </w:t>
      </w:r>
      <w:r w:rsidR="00722AFD" w:rsidRPr="00BA687D">
        <w:rPr>
          <w:rFonts w:cs="ITC Charter Com"/>
          <w:b/>
          <w:sz w:val="22"/>
          <w:szCs w:val="22"/>
        </w:rPr>
        <w:t>Abbau bergfreier Rohstoffe</w:t>
      </w:r>
      <w:r w:rsidR="00722AFD">
        <w:rPr>
          <w:rFonts w:cs="ITC Charter Com"/>
          <w:sz w:val="22"/>
          <w:szCs w:val="22"/>
        </w:rPr>
        <w:t xml:space="preserve"> betraut sind</w:t>
      </w:r>
      <w:r w:rsidR="00414AF5">
        <w:rPr>
          <w:rFonts w:cs="ITC Charter Com"/>
          <w:sz w:val="22"/>
          <w:szCs w:val="22"/>
        </w:rPr>
        <w:t xml:space="preserve"> (</w:t>
      </w:r>
      <w:r w:rsidR="00887A82">
        <w:rPr>
          <w:rFonts w:cs="ITC Charter Com"/>
          <w:sz w:val="22"/>
          <w:szCs w:val="22"/>
        </w:rPr>
        <w:t xml:space="preserve">Unternehmensliste </w:t>
      </w:r>
      <w:r w:rsidR="00414AF5">
        <w:rPr>
          <w:rFonts w:cs="ITC Charter Com"/>
          <w:sz w:val="22"/>
          <w:szCs w:val="22"/>
        </w:rPr>
        <w:t>s. Anhang)</w:t>
      </w:r>
      <w:r w:rsidR="00722AFD">
        <w:rPr>
          <w:rFonts w:cs="ITC Charter Com"/>
          <w:sz w:val="22"/>
          <w:szCs w:val="22"/>
        </w:rPr>
        <w:t>.</w:t>
      </w:r>
    </w:p>
    <w:p w:rsidR="005F5B0F" w:rsidRDefault="001E42F0" w:rsidP="00615A43">
      <w:pPr>
        <w:spacing w:before="120" w:after="120" w:line="276" w:lineRule="auto"/>
        <w:jc w:val="both"/>
        <w:rPr>
          <w:rFonts w:cs="ITC Charter Com"/>
          <w:b/>
          <w:sz w:val="22"/>
          <w:szCs w:val="22"/>
        </w:rPr>
      </w:pPr>
      <w:r>
        <w:rPr>
          <w:rFonts w:cs="ITC Charter Com"/>
          <w:b/>
          <w:sz w:val="22"/>
          <w:szCs w:val="22"/>
        </w:rPr>
        <w:t xml:space="preserve">Abdeckung </w:t>
      </w:r>
      <w:r w:rsidR="007607A8">
        <w:rPr>
          <w:rFonts w:cs="ITC Charter Com"/>
          <w:b/>
          <w:sz w:val="22"/>
          <w:szCs w:val="22"/>
        </w:rPr>
        <w:t>des Sektors</w:t>
      </w:r>
    </w:p>
    <w:p w:rsidR="005F5B0F" w:rsidRPr="005F5B0F" w:rsidRDefault="003E48D4" w:rsidP="00615A43">
      <w:pPr>
        <w:spacing w:before="120" w:after="120" w:line="276" w:lineRule="auto"/>
        <w:jc w:val="both"/>
        <w:rPr>
          <w:rFonts w:cs="ITC Charter Com"/>
          <w:sz w:val="22"/>
          <w:szCs w:val="22"/>
        </w:rPr>
      </w:pPr>
      <w:r>
        <w:rPr>
          <w:rFonts w:cs="ITC Charter Com"/>
          <w:sz w:val="22"/>
          <w:szCs w:val="22"/>
        </w:rPr>
        <w:t xml:space="preserve">Mit den über die NACE-Kategorisierung identifizierten </w:t>
      </w:r>
      <w:r w:rsidRPr="00354540">
        <w:rPr>
          <w:rFonts w:cs="ITC Charter Com"/>
          <w:b/>
          <w:sz w:val="22"/>
          <w:szCs w:val="22"/>
        </w:rPr>
        <w:t>19 „großen“ Unternehmen</w:t>
      </w:r>
      <w:r>
        <w:rPr>
          <w:rFonts w:cs="ITC Charter Com"/>
          <w:sz w:val="22"/>
          <w:szCs w:val="22"/>
        </w:rPr>
        <w:t xml:space="preserve"> lässt sich die folgende </w:t>
      </w:r>
      <w:r w:rsidRPr="0084762B">
        <w:rPr>
          <w:rFonts w:cs="ITC Charter Com"/>
          <w:b/>
          <w:sz w:val="22"/>
          <w:szCs w:val="22"/>
        </w:rPr>
        <w:t>Abdeckung der gesamten bergfreien Rohstoffproduktion 2013 in Deutsc</w:t>
      </w:r>
      <w:r w:rsidRPr="0084762B">
        <w:rPr>
          <w:rFonts w:cs="ITC Charter Com"/>
          <w:b/>
          <w:sz w:val="22"/>
          <w:szCs w:val="22"/>
        </w:rPr>
        <w:t>h</w:t>
      </w:r>
      <w:r w:rsidRPr="0084762B">
        <w:rPr>
          <w:rFonts w:cs="ITC Charter Com"/>
          <w:b/>
          <w:sz w:val="22"/>
          <w:szCs w:val="22"/>
        </w:rPr>
        <w:t>land</w:t>
      </w:r>
      <w:r>
        <w:rPr>
          <w:rFonts w:cs="ITC Charter Com"/>
          <w:sz w:val="22"/>
          <w:szCs w:val="22"/>
        </w:rPr>
        <w:t xml:space="preserve"> erreichen</w:t>
      </w:r>
      <w:r w:rsidR="005F5B0F">
        <w:rPr>
          <w:rFonts w:cs="ITC Charter Com"/>
          <w:sz w:val="22"/>
          <w:szCs w:val="22"/>
        </w:rPr>
        <w:t>:</w:t>
      </w:r>
    </w:p>
    <w:p w:rsidR="006B54ED" w:rsidRPr="006B54ED" w:rsidRDefault="004D7C0A" w:rsidP="00615A43">
      <w:pPr>
        <w:pStyle w:val="Listenabsatz"/>
        <w:numPr>
          <w:ilvl w:val="0"/>
          <w:numId w:val="12"/>
        </w:numPr>
        <w:spacing w:line="276" w:lineRule="auto"/>
        <w:jc w:val="both"/>
        <w:rPr>
          <w:rFonts w:cs="ITC Charter Com"/>
          <w:sz w:val="22"/>
          <w:szCs w:val="22"/>
        </w:rPr>
      </w:pPr>
      <w:r w:rsidRPr="006B54ED">
        <w:rPr>
          <w:rFonts w:cs="ITC Charter Com"/>
          <w:b/>
          <w:sz w:val="22"/>
          <w:szCs w:val="22"/>
        </w:rPr>
        <w:t xml:space="preserve">Erdgas: </w:t>
      </w:r>
      <w:r w:rsidRPr="0084762B">
        <w:rPr>
          <w:rFonts w:cs="ITC Charter Com"/>
          <w:sz w:val="22"/>
          <w:szCs w:val="22"/>
        </w:rPr>
        <w:t>99,38%</w:t>
      </w:r>
    </w:p>
    <w:p w:rsidR="006B54ED" w:rsidRPr="006B54ED" w:rsidRDefault="004D7C0A" w:rsidP="00615A43">
      <w:pPr>
        <w:pStyle w:val="Listenabsatz"/>
        <w:numPr>
          <w:ilvl w:val="0"/>
          <w:numId w:val="12"/>
        </w:numPr>
        <w:spacing w:line="276" w:lineRule="auto"/>
        <w:jc w:val="both"/>
        <w:rPr>
          <w:rFonts w:cs="ITC Charter Com"/>
          <w:sz w:val="22"/>
          <w:szCs w:val="22"/>
        </w:rPr>
      </w:pPr>
      <w:r w:rsidRPr="006B54ED">
        <w:rPr>
          <w:rFonts w:cs="ITC Charter Com"/>
          <w:b/>
          <w:sz w:val="22"/>
          <w:szCs w:val="22"/>
        </w:rPr>
        <w:t xml:space="preserve">Braunkohle: </w:t>
      </w:r>
      <w:r w:rsidRPr="0084762B">
        <w:rPr>
          <w:rFonts w:cs="ITC Charter Com"/>
          <w:sz w:val="22"/>
          <w:szCs w:val="22"/>
        </w:rPr>
        <w:t>99,1%</w:t>
      </w:r>
      <w:r w:rsidR="00581ABD">
        <w:rPr>
          <w:rStyle w:val="Funotenzeichen"/>
          <w:rFonts w:cs="ITC Charter Com"/>
          <w:sz w:val="22"/>
          <w:szCs w:val="22"/>
        </w:rPr>
        <w:footnoteReference w:id="2"/>
      </w:r>
    </w:p>
    <w:p w:rsidR="006B54ED" w:rsidRDefault="004D7C0A" w:rsidP="00615A4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ITC Charter Com"/>
          <w:sz w:val="22"/>
          <w:szCs w:val="22"/>
        </w:rPr>
      </w:pPr>
      <w:r w:rsidRPr="006B54ED">
        <w:rPr>
          <w:rFonts w:cs="ITC Charter Com"/>
          <w:b/>
          <w:sz w:val="22"/>
          <w:szCs w:val="22"/>
        </w:rPr>
        <w:t>Erdöl:</w:t>
      </w:r>
      <w:r w:rsidRPr="006B54ED">
        <w:rPr>
          <w:rFonts w:cs="ITC Charter Com"/>
          <w:sz w:val="22"/>
          <w:szCs w:val="22"/>
        </w:rPr>
        <w:t xml:space="preserve"> </w:t>
      </w:r>
      <w:r w:rsidRPr="0084762B">
        <w:rPr>
          <w:rFonts w:cs="ITC Charter Com"/>
          <w:sz w:val="22"/>
          <w:szCs w:val="22"/>
        </w:rPr>
        <w:t>95,76%</w:t>
      </w:r>
    </w:p>
    <w:p w:rsidR="004D7C0A" w:rsidRPr="006B54ED" w:rsidRDefault="0084762B" w:rsidP="00615A4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ITC Charter Com"/>
          <w:sz w:val="22"/>
          <w:szCs w:val="22"/>
        </w:rPr>
      </w:pPr>
      <w:r>
        <w:rPr>
          <w:rFonts w:cs="ITC Charter Com"/>
          <w:b/>
          <w:sz w:val="22"/>
          <w:szCs w:val="22"/>
        </w:rPr>
        <w:t xml:space="preserve">Kali: </w:t>
      </w:r>
      <w:r w:rsidRPr="0084762B">
        <w:rPr>
          <w:rFonts w:cs="ITC Charter Com"/>
          <w:sz w:val="22"/>
          <w:szCs w:val="22"/>
        </w:rPr>
        <w:t>100%</w:t>
      </w:r>
    </w:p>
    <w:p w:rsidR="004D7C0A" w:rsidRPr="0084762B" w:rsidRDefault="004D7C0A" w:rsidP="0084762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cs="ITC Charter Com"/>
          <w:b/>
          <w:sz w:val="22"/>
          <w:szCs w:val="22"/>
        </w:rPr>
      </w:pPr>
      <w:r w:rsidRPr="0084762B">
        <w:rPr>
          <w:rFonts w:cs="ITC Charter Com"/>
          <w:b/>
          <w:sz w:val="22"/>
          <w:szCs w:val="22"/>
        </w:rPr>
        <w:t xml:space="preserve">Steinkohle: </w:t>
      </w:r>
      <w:r w:rsidRPr="0084762B">
        <w:rPr>
          <w:rFonts w:cs="ITC Charter Com"/>
          <w:sz w:val="22"/>
          <w:szCs w:val="22"/>
        </w:rPr>
        <w:t>10</w:t>
      </w:r>
      <w:r w:rsidR="0084762B" w:rsidRPr="0084762B">
        <w:rPr>
          <w:rFonts w:cs="ITC Charter Com"/>
          <w:sz w:val="22"/>
          <w:szCs w:val="22"/>
        </w:rPr>
        <w:t>0%</w:t>
      </w:r>
    </w:p>
    <w:p w:rsidR="00B26E02" w:rsidRDefault="001421D4" w:rsidP="00D740BC">
      <w:pPr>
        <w:spacing w:after="240" w:line="276" w:lineRule="auto"/>
        <w:jc w:val="both"/>
        <w:rPr>
          <w:rFonts w:cs="ITC Charter Com"/>
          <w:sz w:val="22"/>
          <w:szCs w:val="22"/>
        </w:rPr>
      </w:pPr>
      <w:r>
        <w:rPr>
          <w:rFonts w:cs="ITC Charter Com"/>
          <w:sz w:val="22"/>
          <w:szCs w:val="22"/>
        </w:rPr>
        <w:t xml:space="preserve">Über die sieben zusätzlich </w:t>
      </w:r>
      <w:r w:rsidR="009F0928">
        <w:rPr>
          <w:rFonts w:cs="ITC Charter Com"/>
          <w:sz w:val="22"/>
          <w:szCs w:val="22"/>
        </w:rPr>
        <w:t>–</w:t>
      </w:r>
      <w:r w:rsidR="006B1966">
        <w:rPr>
          <w:rFonts w:cs="ITC Charter Com"/>
          <w:sz w:val="22"/>
          <w:szCs w:val="22"/>
        </w:rPr>
        <w:t xml:space="preserve"> </w:t>
      </w:r>
      <w:r w:rsidR="009F0928">
        <w:rPr>
          <w:rFonts w:cs="ITC Charter Com"/>
          <w:sz w:val="22"/>
          <w:szCs w:val="22"/>
        </w:rPr>
        <w:t>nach Informationen der BGR</w:t>
      </w:r>
      <w:r w:rsidR="006B1966">
        <w:rPr>
          <w:rFonts w:cs="ITC Charter Com"/>
          <w:sz w:val="22"/>
          <w:szCs w:val="22"/>
        </w:rPr>
        <w:t xml:space="preserve"> –</w:t>
      </w:r>
      <w:r w:rsidR="009F0928">
        <w:rPr>
          <w:rFonts w:cs="ITC Charter Com"/>
          <w:sz w:val="22"/>
          <w:szCs w:val="22"/>
        </w:rPr>
        <w:t xml:space="preserve"> </w:t>
      </w:r>
      <w:r>
        <w:rPr>
          <w:rFonts w:cs="ITC Charter Com"/>
          <w:sz w:val="22"/>
          <w:szCs w:val="22"/>
        </w:rPr>
        <w:t>iden</w:t>
      </w:r>
      <w:r w:rsidR="009502E2">
        <w:rPr>
          <w:rFonts w:cs="ITC Charter Com"/>
          <w:sz w:val="22"/>
          <w:szCs w:val="22"/>
        </w:rPr>
        <w:t>ti</w:t>
      </w:r>
      <w:r>
        <w:rPr>
          <w:rFonts w:cs="ITC Charter Com"/>
          <w:sz w:val="22"/>
          <w:szCs w:val="22"/>
        </w:rPr>
        <w:t xml:space="preserve">fizierten Unternehmen lässt sich eine </w:t>
      </w:r>
      <w:r w:rsidRPr="0057115A">
        <w:rPr>
          <w:rFonts w:cs="ITC Charter Com"/>
          <w:b/>
          <w:sz w:val="22"/>
          <w:szCs w:val="22"/>
        </w:rPr>
        <w:t xml:space="preserve">weitere </w:t>
      </w:r>
      <w:proofErr w:type="spellStart"/>
      <w:r w:rsidRPr="0057115A">
        <w:rPr>
          <w:rFonts w:cs="ITC Charter Com"/>
          <w:b/>
          <w:sz w:val="22"/>
          <w:szCs w:val="22"/>
        </w:rPr>
        <w:t>Sektorabdeckung</w:t>
      </w:r>
      <w:proofErr w:type="spellEnd"/>
      <w:r>
        <w:rPr>
          <w:rFonts w:cs="ITC Charter Com"/>
          <w:sz w:val="22"/>
          <w:szCs w:val="22"/>
        </w:rPr>
        <w:t xml:space="preserve"> erzielen. Die oben dargestellten Zahlen sind somit als</w:t>
      </w:r>
      <w:r w:rsidR="009911B1">
        <w:rPr>
          <w:rFonts w:cs="ITC Charter Com"/>
          <w:sz w:val="22"/>
          <w:szCs w:val="22"/>
        </w:rPr>
        <w:t xml:space="preserve"> </w:t>
      </w:r>
      <w:r w:rsidR="00736933">
        <w:rPr>
          <w:rFonts w:cs="ITC Charter Com"/>
          <w:sz w:val="22"/>
          <w:szCs w:val="22"/>
        </w:rPr>
        <w:t xml:space="preserve">über die Unternehmensliste </w:t>
      </w:r>
      <w:r w:rsidR="009911B1">
        <w:rPr>
          <w:rFonts w:cs="ITC Charter Com"/>
          <w:sz w:val="22"/>
          <w:szCs w:val="22"/>
        </w:rPr>
        <w:t>m</w:t>
      </w:r>
      <w:r>
        <w:rPr>
          <w:rFonts w:cs="ITC Charter Com"/>
          <w:sz w:val="22"/>
          <w:szCs w:val="22"/>
        </w:rPr>
        <w:t>indest</w:t>
      </w:r>
      <w:r w:rsidR="009911B1">
        <w:rPr>
          <w:rFonts w:cs="ITC Charter Com"/>
          <w:sz w:val="22"/>
          <w:szCs w:val="22"/>
        </w:rPr>
        <w:t>ens zu erreichende A</w:t>
      </w:r>
      <w:r>
        <w:rPr>
          <w:rFonts w:cs="ITC Charter Com"/>
          <w:sz w:val="22"/>
          <w:szCs w:val="22"/>
        </w:rPr>
        <w:t>bdeckung zu verste</w:t>
      </w:r>
      <w:r w:rsidR="00D740BC">
        <w:rPr>
          <w:rFonts w:cs="ITC Charter Com"/>
          <w:sz w:val="22"/>
          <w:szCs w:val="22"/>
        </w:rPr>
        <w:t>hen.</w:t>
      </w:r>
      <w:r w:rsidR="00B26E02">
        <w:rPr>
          <w:rFonts w:cs="ITC Charter Com"/>
          <w:sz w:val="22"/>
          <w:szCs w:val="22"/>
        </w:rPr>
        <w:br w:type="page"/>
      </w:r>
    </w:p>
    <w:p w:rsidR="00EC3D6E" w:rsidRPr="00B26E02" w:rsidRDefault="004B6F65" w:rsidP="00F476E5">
      <w:pPr>
        <w:spacing w:after="120" w:line="276" w:lineRule="auto"/>
        <w:jc w:val="both"/>
        <w:rPr>
          <w:rFonts w:cs="ITC Charter Com"/>
          <w:sz w:val="22"/>
          <w:szCs w:val="22"/>
        </w:rPr>
      </w:pPr>
      <w:r w:rsidRPr="004B6F65">
        <w:rPr>
          <w:rFonts w:cs="ITC Charter Com"/>
          <w:b/>
        </w:rPr>
        <w:lastRenderedPageBreak/>
        <w:t>Anhang</w:t>
      </w:r>
    </w:p>
    <w:p w:rsidR="004D7C0A" w:rsidRPr="00F476E5" w:rsidRDefault="004D7C0A" w:rsidP="00F476E5">
      <w:pPr>
        <w:spacing w:after="120" w:line="276" w:lineRule="auto"/>
        <w:jc w:val="both"/>
        <w:rPr>
          <w:rStyle w:val="Seitenzahl"/>
          <w:b/>
          <w:sz w:val="22"/>
          <w:szCs w:val="22"/>
        </w:rPr>
      </w:pPr>
      <w:r w:rsidRPr="004B6F65">
        <w:rPr>
          <w:rStyle w:val="Seitenzahl"/>
          <w:b/>
          <w:sz w:val="22"/>
          <w:szCs w:val="22"/>
        </w:rPr>
        <w:t>Vorl</w:t>
      </w:r>
      <w:r w:rsidR="00EF79D8">
        <w:rPr>
          <w:rStyle w:val="Seitenzahl"/>
          <w:b/>
          <w:sz w:val="22"/>
          <w:szCs w:val="22"/>
        </w:rPr>
        <w:t>äufige Unternehmensliste (bergfreie Rohstoffe)</w:t>
      </w:r>
      <w:r w:rsidR="00DE245C">
        <w:rPr>
          <w:rStyle w:val="Funotenzeichen"/>
          <w:b/>
          <w:sz w:val="22"/>
          <w:szCs w:val="22"/>
        </w:rPr>
        <w:footnoteReference w:id="3"/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spacing w:line="276" w:lineRule="auto"/>
        <w:rPr>
          <w:rStyle w:val="Seitenzahl"/>
          <w:rFonts w:cs="Times New Roman"/>
          <w:sz w:val="22"/>
          <w:szCs w:val="22"/>
        </w:rPr>
      </w:pPr>
      <w:r w:rsidRPr="004D7C0A">
        <w:rPr>
          <w:rStyle w:val="Seitenzahl"/>
          <w:rFonts w:cs="Times New Roman"/>
          <w:sz w:val="22"/>
          <w:szCs w:val="22"/>
        </w:rPr>
        <w:t>BAYERNGAS GMBH (München)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BEB ERDGAS UND ERDÖL GMBH &amp; CO. KG (Hannover)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DEA DEUTSCHE ERDÖL AG (Hamburg)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DOW DEUTSCHLAND ANLAGENGESELLSCHAFT MBH (Schwalbach am Taunus)</w:t>
      </w:r>
    </w:p>
    <w:p w:rsidR="004D7C0A" w:rsidRPr="006017F6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ITCCharterCom-Regular"/>
          <w:sz w:val="22"/>
          <w:szCs w:val="22"/>
          <w:lang w:val="en-US"/>
        </w:rPr>
      </w:pPr>
      <w:r w:rsidRPr="006017F6">
        <w:rPr>
          <w:rFonts w:cs="Times New Roman"/>
          <w:sz w:val="22"/>
          <w:szCs w:val="22"/>
          <w:lang w:val="en-US"/>
        </w:rPr>
        <w:t xml:space="preserve">ESCO – EUROPEAN SALT COMPANY GMBH &amp;CO. KG (Hannover) 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EWE GASSPEICHER GMBH (Oldenburg)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 xml:space="preserve">EXXONMOBIL PRODUCTION DEUTSCHLAND GMBH (Hannover) 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GDF SUEZ E&amp;P DEUTSCHLAND GMBH (Lingen)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ITAG TIEFBOHR GMBH (C</w:t>
      </w:r>
      <w:r w:rsidR="001C38B7">
        <w:rPr>
          <w:rFonts w:cs="Times New Roman"/>
          <w:sz w:val="22"/>
          <w:szCs w:val="22"/>
        </w:rPr>
        <w:t>elle</w:t>
      </w:r>
      <w:r w:rsidRPr="004D7C0A">
        <w:rPr>
          <w:rFonts w:cs="Times New Roman"/>
          <w:sz w:val="22"/>
          <w:szCs w:val="22"/>
        </w:rPr>
        <w:t>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JET ENERGY TRADING GMBH (Hamburg)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K+S AKTIENGESELLSCHAFT (Kassel)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K+S Kali GmbH (Kassel)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MITTELDEUTSCHE BRAUNKOHLEN GESELLSCHAFT MBH (Zeitz)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MOBIL ERDGAS-ERDÖL GMBH (Hamburg)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RAG AKTIENGESELLSCHAFT (Herne)</w:t>
      </w:r>
    </w:p>
    <w:p w:rsidR="004D7C0A" w:rsidRPr="00354540" w:rsidRDefault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RAG ANTHRAZIT</w:t>
      </w:r>
      <w:r w:rsidR="001C38B7">
        <w:rPr>
          <w:rFonts w:cs="Times New Roman"/>
          <w:sz w:val="22"/>
          <w:szCs w:val="22"/>
        </w:rPr>
        <w:t xml:space="preserve"> </w:t>
      </w:r>
      <w:r w:rsidR="001C38B7" w:rsidRPr="004D7C0A">
        <w:rPr>
          <w:rFonts w:cs="Times New Roman"/>
          <w:sz w:val="22"/>
          <w:szCs w:val="22"/>
        </w:rPr>
        <w:t>IBBENBÜREN GMBH (Ibbenbüren)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ROMONTA GMBH (Seegebiet Mansfelder Land)</w:t>
      </w:r>
    </w:p>
    <w:p w:rsid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RWE POWER AKTIENGESELLSCHAFT (Essen)</w:t>
      </w:r>
    </w:p>
    <w:p w:rsidR="001C38B7" w:rsidRPr="00354540" w:rsidRDefault="001C38B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SOLVAY GMBH (Hannover</w:t>
      </w:r>
      <w:r w:rsidRPr="004D7C0A">
        <w:rPr>
          <w:rFonts w:cs="Times New Roman"/>
          <w:sz w:val="22"/>
          <w:szCs w:val="22"/>
        </w:rPr>
        <w:t>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SOLVAY CHEMICALS GMBH (Bernburg)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SÜDWESTDEUTSCHE SALZWERKE AKTIENGESELLSCHAFT (Heilbronn)</w:t>
      </w:r>
    </w:p>
    <w:p w:rsidR="004D7C0A" w:rsidRPr="006017F6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  <w:lang w:val="en-US"/>
        </w:rPr>
      </w:pPr>
      <w:r w:rsidRPr="006017F6">
        <w:rPr>
          <w:rFonts w:cs="Times New Roman"/>
          <w:sz w:val="22"/>
          <w:szCs w:val="22"/>
          <w:lang w:val="en-US"/>
        </w:rPr>
        <w:t>SUNCOR ENERGY OIL (NORTH AFRICA) GMBH (Essen)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VATTENFALL EUROPE MINING AKTIENGESELLSCHAFT (Cottbus)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WACKER CHEMIE AG (München)</w:t>
      </w:r>
    </w:p>
    <w:p w:rsidR="004D7C0A" w:rsidRPr="004D7C0A" w:rsidRDefault="004D7C0A" w:rsidP="004D7C0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WINTERSHALL GMBH (Kassel)</w:t>
      </w:r>
    </w:p>
    <w:p w:rsidR="004D7C0A" w:rsidRPr="004D7C0A" w:rsidRDefault="004D7C0A" w:rsidP="00F476E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cs="Times New Roman"/>
          <w:sz w:val="22"/>
          <w:szCs w:val="22"/>
        </w:rPr>
      </w:pPr>
      <w:r w:rsidRPr="004D7C0A">
        <w:rPr>
          <w:rFonts w:cs="Times New Roman"/>
          <w:sz w:val="22"/>
          <w:szCs w:val="22"/>
        </w:rPr>
        <w:t>WINTERSHALL HOLDING GMBH (Kassel)</w:t>
      </w:r>
    </w:p>
    <w:p w:rsidR="004D7C0A" w:rsidRPr="004D7C0A" w:rsidRDefault="004D7C0A" w:rsidP="004D7C0A">
      <w:pPr>
        <w:spacing w:line="276" w:lineRule="auto"/>
        <w:rPr>
          <w:rFonts w:cs="ITC Charter Com"/>
          <w:sz w:val="22"/>
          <w:szCs w:val="22"/>
        </w:rPr>
      </w:pPr>
    </w:p>
    <w:p w:rsidR="004D7C0A" w:rsidRPr="004D7C0A" w:rsidRDefault="004D7C0A" w:rsidP="004D7C0A">
      <w:pPr>
        <w:spacing w:line="276" w:lineRule="auto"/>
        <w:rPr>
          <w:rFonts w:cs="ITC Charter Com"/>
          <w:sz w:val="22"/>
          <w:szCs w:val="22"/>
        </w:rPr>
      </w:pPr>
    </w:p>
    <w:p w:rsidR="00A8349B" w:rsidRPr="00443F8D" w:rsidRDefault="00A8349B" w:rsidP="004D7C0A">
      <w:pPr>
        <w:tabs>
          <w:tab w:val="left" w:pos="5011"/>
        </w:tabs>
        <w:spacing w:line="276" w:lineRule="auto"/>
        <w:jc w:val="center"/>
        <w:rPr>
          <w:rFonts w:ascii="Arial" w:hAnsi="Arial" w:cs="Arial"/>
        </w:rPr>
      </w:pPr>
    </w:p>
    <w:sectPr w:rsidR="00A8349B" w:rsidRPr="00443F8D" w:rsidSect="000A1B7D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A7" w:rsidRDefault="00221AA7" w:rsidP="006E3E1F">
      <w:r>
        <w:separator/>
      </w:r>
    </w:p>
  </w:endnote>
  <w:endnote w:type="continuationSeparator" w:id="0">
    <w:p w:rsidR="00221AA7" w:rsidRDefault="00221AA7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Charter Co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ITCCharterCom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56316"/>
      <w:docPartObj>
        <w:docPartGallery w:val="Page Numbers (Bottom of Page)"/>
        <w:docPartUnique/>
      </w:docPartObj>
    </w:sdtPr>
    <w:sdtEndPr/>
    <w:sdtContent>
      <w:p w:rsidR="004D4346" w:rsidRDefault="004D43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DA">
          <w:rPr>
            <w:noProof/>
          </w:rPr>
          <w:t>1</w:t>
        </w:r>
        <w:r>
          <w:fldChar w:fldCharType="end"/>
        </w:r>
      </w:p>
    </w:sdtContent>
  </w:sdt>
  <w:p w:rsidR="004D4346" w:rsidRDefault="004D43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A7" w:rsidRDefault="00221AA7" w:rsidP="006E3E1F">
      <w:r>
        <w:separator/>
      </w:r>
    </w:p>
  </w:footnote>
  <w:footnote w:type="continuationSeparator" w:id="0">
    <w:p w:rsidR="00221AA7" w:rsidRDefault="00221AA7" w:rsidP="006E3E1F">
      <w:r>
        <w:continuationSeparator/>
      </w:r>
    </w:p>
  </w:footnote>
  <w:footnote w:id="1">
    <w:p w:rsidR="005B1EDE" w:rsidRPr="005B1EDE" w:rsidRDefault="005B1EDE">
      <w:pPr>
        <w:pStyle w:val="Funotentext"/>
        <w:rPr>
          <w:sz w:val="18"/>
          <w:szCs w:val="18"/>
        </w:rPr>
      </w:pPr>
      <w:r w:rsidRPr="005B1EDE">
        <w:rPr>
          <w:rStyle w:val="Funotenzeichen"/>
          <w:sz w:val="18"/>
          <w:szCs w:val="18"/>
        </w:rPr>
        <w:footnoteRef/>
      </w:r>
      <w:r w:rsidRPr="005B1EDE">
        <w:rPr>
          <w:sz w:val="18"/>
          <w:szCs w:val="18"/>
        </w:rPr>
        <w:t xml:space="preserve"> Informationen nach: D-EITI-Sekretariat (2015): Eingangsprüfung der Anforderungen der </w:t>
      </w:r>
      <w:proofErr w:type="spellStart"/>
      <w:r w:rsidRPr="005B1EDE">
        <w:rPr>
          <w:sz w:val="18"/>
          <w:szCs w:val="18"/>
        </w:rPr>
        <w:t>Extractive</w:t>
      </w:r>
      <w:proofErr w:type="spellEnd"/>
      <w:r w:rsidRPr="005B1EDE">
        <w:rPr>
          <w:sz w:val="18"/>
          <w:szCs w:val="18"/>
        </w:rPr>
        <w:t xml:space="preserve"> Industries </w:t>
      </w:r>
      <w:proofErr w:type="spellStart"/>
      <w:r w:rsidRPr="005B1EDE">
        <w:rPr>
          <w:sz w:val="18"/>
          <w:szCs w:val="18"/>
        </w:rPr>
        <w:t>Transparency</w:t>
      </w:r>
      <w:proofErr w:type="spellEnd"/>
      <w:r w:rsidRPr="005B1EDE">
        <w:rPr>
          <w:sz w:val="18"/>
          <w:szCs w:val="18"/>
        </w:rPr>
        <w:t xml:space="preserve"> Initiative (EITI), Studie erstellt von PWC im Auftrag der GIZ, online verfügbar unter: </w:t>
      </w:r>
      <w:hyperlink r:id="rId1" w:history="1">
        <w:r w:rsidRPr="005B1EDE">
          <w:rPr>
            <w:rStyle w:val="Hyperlink"/>
            <w:sz w:val="18"/>
            <w:szCs w:val="18"/>
          </w:rPr>
          <w:t>http://www.d-eiti.de/wp-content/uploads/2015/05/Studie-EITI-Eingangspr%C3%BCfung-final-22.04.2015.pdf</w:t>
        </w:r>
      </w:hyperlink>
      <w:r w:rsidRPr="005B1EDE">
        <w:rPr>
          <w:sz w:val="18"/>
          <w:szCs w:val="18"/>
        </w:rPr>
        <w:t xml:space="preserve"> (zuletzt geprüft am 03.07.2015), S. 82</w:t>
      </w:r>
      <w:r w:rsidR="001C1E6E">
        <w:rPr>
          <w:sz w:val="18"/>
          <w:szCs w:val="18"/>
        </w:rPr>
        <w:t>-85</w:t>
      </w:r>
      <w:r w:rsidRPr="005B1EDE">
        <w:rPr>
          <w:sz w:val="18"/>
          <w:szCs w:val="18"/>
        </w:rPr>
        <w:t>.</w:t>
      </w:r>
    </w:p>
  </w:footnote>
  <w:footnote w:id="2">
    <w:p w:rsidR="00581ABD" w:rsidRPr="00F52813" w:rsidRDefault="00581ABD">
      <w:pPr>
        <w:pStyle w:val="Funotentext"/>
        <w:rPr>
          <w:sz w:val="18"/>
          <w:szCs w:val="18"/>
        </w:rPr>
      </w:pPr>
      <w:r w:rsidRPr="004B3F7F">
        <w:rPr>
          <w:rStyle w:val="Funotenzeichen"/>
          <w:sz w:val="18"/>
          <w:szCs w:val="18"/>
        </w:rPr>
        <w:footnoteRef/>
      </w:r>
      <w:r w:rsidRPr="004B3F7F">
        <w:rPr>
          <w:sz w:val="18"/>
          <w:szCs w:val="18"/>
        </w:rPr>
        <w:t xml:space="preserve"> </w:t>
      </w:r>
      <w:r w:rsidR="004B3F7F" w:rsidRPr="004B3F7F">
        <w:rPr>
          <w:sz w:val="18"/>
          <w:szCs w:val="18"/>
        </w:rPr>
        <w:t xml:space="preserve">Das zusätzlich identifizierte </w:t>
      </w:r>
      <w:r w:rsidR="004B3F7F" w:rsidRPr="00F52813">
        <w:rPr>
          <w:sz w:val="18"/>
          <w:szCs w:val="18"/>
        </w:rPr>
        <w:t xml:space="preserve">Unternehmen RWE Power AG </w:t>
      </w:r>
      <w:r w:rsidR="00853222">
        <w:rPr>
          <w:sz w:val="18"/>
          <w:szCs w:val="18"/>
        </w:rPr>
        <w:t>wurde hier</w:t>
      </w:r>
      <w:r w:rsidR="00F52813" w:rsidRPr="00F52813">
        <w:rPr>
          <w:sz w:val="18"/>
          <w:szCs w:val="18"/>
        </w:rPr>
        <w:t xml:space="preserve"> </w:t>
      </w:r>
      <w:r w:rsidR="00485031">
        <w:rPr>
          <w:sz w:val="18"/>
          <w:szCs w:val="18"/>
        </w:rPr>
        <w:t xml:space="preserve">ebenfalls </w:t>
      </w:r>
      <w:r w:rsidR="00853222">
        <w:rPr>
          <w:sz w:val="18"/>
          <w:szCs w:val="18"/>
        </w:rPr>
        <w:t xml:space="preserve">in die Berechnung </w:t>
      </w:r>
      <w:r w:rsidR="00F52813" w:rsidRPr="00F52813">
        <w:rPr>
          <w:sz w:val="18"/>
          <w:szCs w:val="18"/>
        </w:rPr>
        <w:t>einbezogen.</w:t>
      </w:r>
    </w:p>
  </w:footnote>
  <w:footnote w:id="3">
    <w:p w:rsidR="00DE245C" w:rsidRPr="00DE245C" w:rsidRDefault="00DE245C" w:rsidP="00DE245C">
      <w:pPr>
        <w:spacing w:line="276" w:lineRule="auto"/>
        <w:rPr>
          <w:rFonts w:cs="ITC Charter Com"/>
          <w:sz w:val="18"/>
          <w:szCs w:val="18"/>
        </w:rPr>
      </w:pPr>
      <w:r w:rsidRPr="00DE245C">
        <w:rPr>
          <w:rStyle w:val="Funotenzeichen"/>
          <w:sz w:val="18"/>
          <w:szCs w:val="18"/>
        </w:rPr>
        <w:footnoteRef/>
      </w:r>
      <w:r w:rsidRPr="00DE245C">
        <w:rPr>
          <w:sz w:val="18"/>
          <w:szCs w:val="18"/>
        </w:rPr>
        <w:t xml:space="preserve"> </w:t>
      </w:r>
      <w:r w:rsidR="001C38B7" w:rsidRPr="00DE245C">
        <w:rPr>
          <w:sz w:val="18"/>
          <w:szCs w:val="18"/>
        </w:rPr>
        <w:t>In der Unternehmensliste sind Tochterunternehmen enthalten. Die Entscheidung, ob Tochterunternehmen einer Berichtspflicht nach der EITI unterliegen, obliegt der MSG.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4B" w:rsidRDefault="00B5024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06EFA4" wp14:editId="6BC04B86">
          <wp:simplePos x="0" y="0"/>
          <wp:positionH relativeFrom="margin">
            <wp:posOffset>4036060</wp:posOffset>
          </wp:positionH>
          <wp:positionV relativeFrom="margin">
            <wp:posOffset>-738505</wp:posOffset>
          </wp:positionV>
          <wp:extent cx="1701800" cy="393700"/>
          <wp:effectExtent l="0" t="0" r="0" b="6350"/>
          <wp:wrapSquare wrapText="bothSides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EITI_Vorlage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024B" w:rsidRDefault="00B5024B">
    <w:pPr>
      <w:pStyle w:val="Kopfzeile"/>
    </w:pPr>
  </w:p>
  <w:p w:rsidR="00B5024B" w:rsidRDefault="00B5024B">
    <w:pPr>
      <w:pStyle w:val="Kopfzeile"/>
    </w:pPr>
  </w:p>
  <w:p w:rsidR="0019449A" w:rsidRDefault="0019449A">
    <w:pPr>
      <w:pStyle w:val="Kopfzeile"/>
    </w:pPr>
  </w:p>
  <w:p w:rsidR="00B5024B" w:rsidRDefault="00B502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875"/>
    <w:multiLevelType w:val="hybridMultilevel"/>
    <w:tmpl w:val="00BA47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01F49"/>
    <w:multiLevelType w:val="hybridMultilevel"/>
    <w:tmpl w:val="DF7E9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96CE8"/>
    <w:multiLevelType w:val="multilevel"/>
    <w:tmpl w:val="8B8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A34BE"/>
    <w:multiLevelType w:val="hybridMultilevel"/>
    <w:tmpl w:val="78A82830"/>
    <w:lvl w:ilvl="0" w:tplc="997EEDE8">
      <w:start w:val="19"/>
      <w:numFmt w:val="bullet"/>
      <w:lvlText w:val="-"/>
      <w:lvlJc w:val="left"/>
      <w:pPr>
        <w:ind w:left="720" w:hanging="360"/>
      </w:pPr>
      <w:rPr>
        <w:rFonts w:ascii="ITC Charter Com" w:eastAsiaTheme="minorHAnsi" w:hAnsi="ITC Charter Com" w:cs="ITC Charter Co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3585"/>
    <w:multiLevelType w:val="hybridMultilevel"/>
    <w:tmpl w:val="C64A8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2DC7"/>
    <w:multiLevelType w:val="hybridMultilevel"/>
    <w:tmpl w:val="F370B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64778"/>
    <w:multiLevelType w:val="hybridMultilevel"/>
    <w:tmpl w:val="110C7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21172"/>
    <w:multiLevelType w:val="hybridMultilevel"/>
    <w:tmpl w:val="4B6CC1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561212"/>
    <w:multiLevelType w:val="hybridMultilevel"/>
    <w:tmpl w:val="00B2EB98"/>
    <w:lvl w:ilvl="0" w:tplc="6804D5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F6EA4"/>
    <w:multiLevelType w:val="hybridMultilevel"/>
    <w:tmpl w:val="69846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05E66"/>
    <w:multiLevelType w:val="hybridMultilevel"/>
    <w:tmpl w:val="A9B62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C32D0"/>
    <w:multiLevelType w:val="hybridMultilevel"/>
    <w:tmpl w:val="32E29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F"/>
    <w:rsid w:val="00032244"/>
    <w:rsid w:val="00040AFE"/>
    <w:rsid w:val="00040BA9"/>
    <w:rsid w:val="000417F3"/>
    <w:rsid w:val="00041BA8"/>
    <w:rsid w:val="00042698"/>
    <w:rsid w:val="0004644F"/>
    <w:rsid w:val="00047584"/>
    <w:rsid w:val="00052B20"/>
    <w:rsid w:val="00053290"/>
    <w:rsid w:val="00071EA3"/>
    <w:rsid w:val="00090DC1"/>
    <w:rsid w:val="00094C5A"/>
    <w:rsid w:val="000A1B7D"/>
    <w:rsid w:val="000B3D6D"/>
    <w:rsid w:val="000E5BC7"/>
    <w:rsid w:val="000F07FE"/>
    <w:rsid w:val="000F5849"/>
    <w:rsid w:val="0012296F"/>
    <w:rsid w:val="00140F64"/>
    <w:rsid w:val="001421D4"/>
    <w:rsid w:val="0014324C"/>
    <w:rsid w:val="00146E32"/>
    <w:rsid w:val="0015250E"/>
    <w:rsid w:val="00152EC6"/>
    <w:rsid w:val="0015439E"/>
    <w:rsid w:val="00155D29"/>
    <w:rsid w:val="00171068"/>
    <w:rsid w:val="0019449A"/>
    <w:rsid w:val="00194A54"/>
    <w:rsid w:val="0019710C"/>
    <w:rsid w:val="001C1E6E"/>
    <w:rsid w:val="001C38B7"/>
    <w:rsid w:val="001C45FD"/>
    <w:rsid w:val="001C48D2"/>
    <w:rsid w:val="001D6BD7"/>
    <w:rsid w:val="001E120D"/>
    <w:rsid w:val="001E42F0"/>
    <w:rsid w:val="00202C56"/>
    <w:rsid w:val="00204DA5"/>
    <w:rsid w:val="00221AA7"/>
    <w:rsid w:val="0024711B"/>
    <w:rsid w:val="00251CA9"/>
    <w:rsid w:val="0026658B"/>
    <w:rsid w:val="00281A77"/>
    <w:rsid w:val="002A010A"/>
    <w:rsid w:val="002B4663"/>
    <w:rsid w:val="002C3E3D"/>
    <w:rsid w:val="002C549E"/>
    <w:rsid w:val="002C7877"/>
    <w:rsid w:val="002D26FD"/>
    <w:rsid w:val="002D2C6F"/>
    <w:rsid w:val="003206AA"/>
    <w:rsid w:val="00323FE1"/>
    <w:rsid w:val="0034398A"/>
    <w:rsid w:val="00345034"/>
    <w:rsid w:val="00354540"/>
    <w:rsid w:val="003560D6"/>
    <w:rsid w:val="003701F5"/>
    <w:rsid w:val="00387626"/>
    <w:rsid w:val="00392388"/>
    <w:rsid w:val="003972D4"/>
    <w:rsid w:val="003A3174"/>
    <w:rsid w:val="003D303D"/>
    <w:rsid w:val="003E48D4"/>
    <w:rsid w:val="00406AD3"/>
    <w:rsid w:val="00407BD7"/>
    <w:rsid w:val="00414AF5"/>
    <w:rsid w:val="0042144C"/>
    <w:rsid w:val="00434EA1"/>
    <w:rsid w:val="00443F8D"/>
    <w:rsid w:val="00462E49"/>
    <w:rsid w:val="00477DAE"/>
    <w:rsid w:val="00485031"/>
    <w:rsid w:val="004A4EC9"/>
    <w:rsid w:val="004B0D83"/>
    <w:rsid w:val="004B10F1"/>
    <w:rsid w:val="004B37A4"/>
    <w:rsid w:val="004B3F7F"/>
    <w:rsid w:val="004B6F65"/>
    <w:rsid w:val="004D226D"/>
    <w:rsid w:val="004D4346"/>
    <w:rsid w:val="004D7C0A"/>
    <w:rsid w:val="004F5B67"/>
    <w:rsid w:val="00523AEE"/>
    <w:rsid w:val="0052405F"/>
    <w:rsid w:val="00540528"/>
    <w:rsid w:val="005420FC"/>
    <w:rsid w:val="00555F69"/>
    <w:rsid w:val="00557159"/>
    <w:rsid w:val="0057115A"/>
    <w:rsid w:val="00580047"/>
    <w:rsid w:val="00581ABD"/>
    <w:rsid w:val="00585CDA"/>
    <w:rsid w:val="005B14CF"/>
    <w:rsid w:val="005B1EDE"/>
    <w:rsid w:val="005C72F3"/>
    <w:rsid w:val="005D4065"/>
    <w:rsid w:val="005F17F6"/>
    <w:rsid w:val="005F3119"/>
    <w:rsid w:val="005F5B0F"/>
    <w:rsid w:val="006017F6"/>
    <w:rsid w:val="00615A43"/>
    <w:rsid w:val="0062311D"/>
    <w:rsid w:val="00634215"/>
    <w:rsid w:val="00646CDE"/>
    <w:rsid w:val="00675A34"/>
    <w:rsid w:val="006A3743"/>
    <w:rsid w:val="006A49FB"/>
    <w:rsid w:val="006A6114"/>
    <w:rsid w:val="006A7F77"/>
    <w:rsid w:val="006B1966"/>
    <w:rsid w:val="006B54ED"/>
    <w:rsid w:val="006C43A8"/>
    <w:rsid w:val="006C5A1D"/>
    <w:rsid w:val="006D0831"/>
    <w:rsid w:val="006E3E1F"/>
    <w:rsid w:val="007019F0"/>
    <w:rsid w:val="00705B3B"/>
    <w:rsid w:val="00721E84"/>
    <w:rsid w:val="00722AFD"/>
    <w:rsid w:val="00736933"/>
    <w:rsid w:val="0074027B"/>
    <w:rsid w:val="00750A59"/>
    <w:rsid w:val="00757F7A"/>
    <w:rsid w:val="007607A8"/>
    <w:rsid w:val="0076233A"/>
    <w:rsid w:val="00775EE3"/>
    <w:rsid w:val="0078275C"/>
    <w:rsid w:val="00783121"/>
    <w:rsid w:val="0078674E"/>
    <w:rsid w:val="007C5CB7"/>
    <w:rsid w:val="007E00A0"/>
    <w:rsid w:val="007E24FF"/>
    <w:rsid w:val="008222D4"/>
    <w:rsid w:val="00826CB6"/>
    <w:rsid w:val="0083073E"/>
    <w:rsid w:val="0083237B"/>
    <w:rsid w:val="0084762B"/>
    <w:rsid w:val="0085004C"/>
    <w:rsid w:val="00853222"/>
    <w:rsid w:val="00886D31"/>
    <w:rsid w:val="00887A82"/>
    <w:rsid w:val="008A1723"/>
    <w:rsid w:val="008D0DF9"/>
    <w:rsid w:val="008D574B"/>
    <w:rsid w:val="008E4B2E"/>
    <w:rsid w:val="008E78B6"/>
    <w:rsid w:val="008F6AB9"/>
    <w:rsid w:val="008F78DE"/>
    <w:rsid w:val="009031D0"/>
    <w:rsid w:val="0091516E"/>
    <w:rsid w:val="00934BDA"/>
    <w:rsid w:val="009502E2"/>
    <w:rsid w:val="009609E5"/>
    <w:rsid w:val="00963AA5"/>
    <w:rsid w:val="009906E8"/>
    <w:rsid w:val="009911B1"/>
    <w:rsid w:val="0099768A"/>
    <w:rsid w:val="009A7A94"/>
    <w:rsid w:val="009C1261"/>
    <w:rsid w:val="009C511C"/>
    <w:rsid w:val="009E0DA4"/>
    <w:rsid w:val="009F0928"/>
    <w:rsid w:val="009F1A20"/>
    <w:rsid w:val="00A01868"/>
    <w:rsid w:val="00A14463"/>
    <w:rsid w:val="00A151DB"/>
    <w:rsid w:val="00A369C3"/>
    <w:rsid w:val="00A45BCC"/>
    <w:rsid w:val="00A464DF"/>
    <w:rsid w:val="00A474DB"/>
    <w:rsid w:val="00A52424"/>
    <w:rsid w:val="00A55FB1"/>
    <w:rsid w:val="00A571F4"/>
    <w:rsid w:val="00A739C1"/>
    <w:rsid w:val="00A8349B"/>
    <w:rsid w:val="00AA3CF9"/>
    <w:rsid w:val="00AB0209"/>
    <w:rsid w:val="00AC0BC1"/>
    <w:rsid w:val="00AC3004"/>
    <w:rsid w:val="00AD3802"/>
    <w:rsid w:val="00AE5A26"/>
    <w:rsid w:val="00AF1270"/>
    <w:rsid w:val="00B26E02"/>
    <w:rsid w:val="00B5024B"/>
    <w:rsid w:val="00B50F0B"/>
    <w:rsid w:val="00B51CCA"/>
    <w:rsid w:val="00B77662"/>
    <w:rsid w:val="00B80393"/>
    <w:rsid w:val="00B9513D"/>
    <w:rsid w:val="00BA687D"/>
    <w:rsid w:val="00BA7EF2"/>
    <w:rsid w:val="00BB6B3A"/>
    <w:rsid w:val="00BB7167"/>
    <w:rsid w:val="00BC5AEC"/>
    <w:rsid w:val="00BD14FA"/>
    <w:rsid w:val="00BD1EBB"/>
    <w:rsid w:val="00BE44B7"/>
    <w:rsid w:val="00C24712"/>
    <w:rsid w:val="00C3021B"/>
    <w:rsid w:val="00C365D1"/>
    <w:rsid w:val="00C374B3"/>
    <w:rsid w:val="00C40FA5"/>
    <w:rsid w:val="00C709A6"/>
    <w:rsid w:val="00C748D6"/>
    <w:rsid w:val="00C849FC"/>
    <w:rsid w:val="00C87957"/>
    <w:rsid w:val="00C90074"/>
    <w:rsid w:val="00CB793F"/>
    <w:rsid w:val="00CB7E77"/>
    <w:rsid w:val="00CC173C"/>
    <w:rsid w:val="00CC2FC7"/>
    <w:rsid w:val="00CC40C9"/>
    <w:rsid w:val="00CD1F05"/>
    <w:rsid w:val="00CD5896"/>
    <w:rsid w:val="00CF7C26"/>
    <w:rsid w:val="00D03F46"/>
    <w:rsid w:val="00D24A89"/>
    <w:rsid w:val="00D540EB"/>
    <w:rsid w:val="00D63495"/>
    <w:rsid w:val="00D6503D"/>
    <w:rsid w:val="00D740BC"/>
    <w:rsid w:val="00D86097"/>
    <w:rsid w:val="00D87A00"/>
    <w:rsid w:val="00DD4772"/>
    <w:rsid w:val="00DD4EBE"/>
    <w:rsid w:val="00DE245C"/>
    <w:rsid w:val="00DE4186"/>
    <w:rsid w:val="00DF18D6"/>
    <w:rsid w:val="00DF54BB"/>
    <w:rsid w:val="00E140F1"/>
    <w:rsid w:val="00E14333"/>
    <w:rsid w:val="00E27A54"/>
    <w:rsid w:val="00E319FE"/>
    <w:rsid w:val="00E31E1C"/>
    <w:rsid w:val="00E3559E"/>
    <w:rsid w:val="00E81518"/>
    <w:rsid w:val="00EC0C78"/>
    <w:rsid w:val="00EC3D6E"/>
    <w:rsid w:val="00ED53FE"/>
    <w:rsid w:val="00EF06B4"/>
    <w:rsid w:val="00EF3400"/>
    <w:rsid w:val="00EF79D8"/>
    <w:rsid w:val="00EF7F48"/>
    <w:rsid w:val="00F05D8F"/>
    <w:rsid w:val="00F06ACB"/>
    <w:rsid w:val="00F2082B"/>
    <w:rsid w:val="00F24428"/>
    <w:rsid w:val="00F357FB"/>
    <w:rsid w:val="00F35A7A"/>
    <w:rsid w:val="00F46784"/>
    <w:rsid w:val="00F476E5"/>
    <w:rsid w:val="00F52813"/>
    <w:rsid w:val="00F64FD8"/>
    <w:rsid w:val="00F812FF"/>
    <w:rsid w:val="00F91452"/>
    <w:rsid w:val="00F94427"/>
    <w:rsid w:val="00FA16B9"/>
    <w:rsid w:val="00FB00C5"/>
    <w:rsid w:val="00FB0EB0"/>
    <w:rsid w:val="00FC2A8C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eitenzahl">
    <w:name w:val="page number"/>
    <w:basedOn w:val="Absatz-Standardschriftart"/>
    <w:semiHidden/>
    <w:unhideWhenUsed/>
    <w:rsid w:val="004D7C0A"/>
  </w:style>
  <w:style w:type="character" w:styleId="Kommentarzeichen">
    <w:name w:val="annotation reference"/>
    <w:basedOn w:val="Absatz-Standardschriftart"/>
    <w:uiPriority w:val="99"/>
    <w:semiHidden/>
    <w:unhideWhenUsed/>
    <w:rsid w:val="004D7C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7C0A"/>
    <w:rPr>
      <w:rFonts w:ascii="Arial" w:eastAsiaTheme="minorHAnsi" w:hAnsi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7C0A"/>
    <w:rPr>
      <w:rFonts w:ascii="Arial" w:eastAsiaTheme="minorHAnsi" w:hAnsi="Arial"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3AA5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38B7"/>
    <w:rPr>
      <w:rFonts w:asciiTheme="minorHAnsi" w:eastAsiaTheme="minorEastAsia" w:hAnsiTheme="minorHAnsi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38B7"/>
    <w:rPr>
      <w:rFonts w:ascii="Arial" w:eastAsiaTheme="minorHAnsi" w:hAnsi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eitenzahl">
    <w:name w:val="page number"/>
    <w:basedOn w:val="Absatz-Standardschriftart"/>
    <w:semiHidden/>
    <w:unhideWhenUsed/>
    <w:rsid w:val="004D7C0A"/>
  </w:style>
  <w:style w:type="character" w:styleId="Kommentarzeichen">
    <w:name w:val="annotation reference"/>
    <w:basedOn w:val="Absatz-Standardschriftart"/>
    <w:uiPriority w:val="99"/>
    <w:semiHidden/>
    <w:unhideWhenUsed/>
    <w:rsid w:val="004D7C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7C0A"/>
    <w:rPr>
      <w:rFonts w:ascii="Arial" w:eastAsiaTheme="minorHAnsi" w:hAnsi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7C0A"/>
    <w:rPr>
      <w:rFonts w:ascii="Arial" w:eastAsiaTheme="minorHAnsi" w:hAnsi="Arial"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3AA5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38B7"/>
    <w:rPr>
      <w:rFonts w:asciiTheme="minorHAnsi" w:eastAsiaTheme="minorEastAsia" w:hAnsiTheme="minorHAnsi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38B7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-eiti.de/wp-content/uploads/2015/05/Studie-EITI-Eingangspr%C3%BCfung-final-22.04.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58A15-7C18-4A0A-90EB-3F20B00D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Yesil</dc:creator>
  <cp:lastModifiedBy>Johanna Beate Wysluch</cp:lastModifiedBy>
  <cp:revision>2</cp:revision>
  <dcterms:created xsi:type="dcterms:W3CDTF">2015-08-07T14:34:00Z</dcterms:created>
  <dcterms:modified xsi:type="dcterms:W3CDTF">2015-08-07T14:34:00Z</dcterms:modified>
</cp:coreProperties>
</file>