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1873" w:rsidRPr="006B1873" w:rsidRDefault="006B1873" w:rsidP="00F90BD0">
      <w:pPr>
        <w:suppressAutoHyphens/>
        <w:spacing w:after="120" w:line="360" w:lineRule="auto"/>
        <w:rPr>
          <w:rFonts w:eastAsia="Times New Roman"/>
          <w:b/>
          <w:color w:val="auto"/>
          <w:u w:val="single"/>
          <w:lang w:eastAsia="ar-SA"/>
        </w:rPr>
      </w:pPr>
      <w:r w:rsidRPr="006B1873">
        <w:rPr>
          <w:rFonts w:eastAsia="Times New Roman"/>
          <w:b/>
          <w:color w:val="auto"/>
          <w:u w:val="single"/>
          <w:lang w:eastAsia="ar-SA"/>
        </w:rPr>
        <w:t>Themenaufriss</w:t>
      </w:r>
    </w:p>
    <w:p w:rsidR="00F90BD0" w:rsidRPr="00F90BD0" w:rsidRDefault="00F90BD0" w:rsidP="00F90BD0">
      <w:pPr>
        <w:suppressAutoHyphens/>
        <w:spacing w:after="120" w:line="360" w:lineRule="auto"/>
        <w:rPr>
          <w:rFonts w:eastAsia="Times New Roman"/>
          <w:color w:val="auto"/>
          <w:lang w:eastAsia="ar-SA"/>
        </w:rPr>
      </w:pPr>
      <w:r w:rsidRPr="00F90BD0">
        <w:rPr>
          <w:rFonts w:eastAsia="Times New Roman"/>
          <w:b/>
          <w:color w:val="auto"/>
          <w:lang w:eastAsia="ar-SA"/>
        </w:rPr>
        <w:t xml:space="preserve">Transparenz und Offenlegung von Verträgen und Lizenzen im extraktiven Sektor: </w:t>
      </w:r>
    </w:p>
    <w:p w:rsidR="00F90BD0" w:rsidRPr="00F90BD0" w:rsidRDefault="00F90BD0" w:rsidP="00F90BD0">
      <w:pPr>
        <w:suppressAutoHyphens/>
        <w:spacing w:after="120" w:line="360" w:lineRule="auto"/>
        <w:jc w:val="both"/>
        <w:rPr>
          <w:rFonts w:eastAsia="Times New Roman"/>
          <w:color w:val="auto"/>
          <w:lang w:eastAsia="ar-SA"/>
        </w:rPr>
      </w:pPr>
      <w:r w:rsidRPr="00F90BD0">
        <w:rPr>
          <w:rFonts w:eastAsia="Times New Roman"/>
          <w:color w:val="auto"/>
          <w:lang w:eastAsia="ar-SA"/>
        </w:rPr>
        <w:t>Dieses Papier beschäftigt sich mit dem Thema der Offenlegung oder Transparenz von Verträgen und Lizenzen im Rohstoffsektor.</w:t>
      </w:r>
      <w:r w:rsidR="0031369B">
        <w:rPr>
          <w:rFonts w:eastAsia="Times New Roman"/>
          <w:color w:val="auto"/>
          <w:lang w:eastAsia="ar-SA"/>
        </w:rPr>
        <w:t xml:space="preserve"> </w:t>
      </w:r>
      <w:r w:rsidRPr="00F90BD0">
        <w:rPr>
          <w:rFonts w:eastAsia="Times New Roman"/>
          <w:color w:val="auto"/>
          <w:lang w:eastAsia="ar-SA"/>
        </w:rPr>
        <w:t xml:space="preserve">Ziel ist es, bestehende internationale Initiativen zu betrachten, um Herausforderungen und Chancen für die deutsche Umsetzung der </w:t>
      </w:r>
      <w:proofErr w:type="spellStart"/>
      <w:r w:rsidRPr="00F90BD0">
        <w:rPr>
          <w:rFonts w:eastAsia="Times New Roman"/>
          <w:color w:val="auto"/>
          <w:lang w:eastAsia="ar-SA"/>
        </w:rPr>
        <w:t>Extractive</w:t>
      </w:r>
      <w:proofErr w:type="spellEnd"/>
      <w:r w:rsidRPr="00F90BD0">
        <w:rPr>
          <w:rFonts w:eastAsia="Times New Roman"/>
          <w:color w:val="auto"/>
          <w:lang w:eastAsia="ar-SA"/>
        </w:rPr>
        <w:t xml:space="preserve"> Industries </w:t>
      </w:r>
      <w:proofErr w:type="spellStart"/>
      <w:r w:rsidRPr="00F90BD0">
        <w:rPr>
          <w:rFonts w:eastAsia="Times New Roman"/>
          <w:color w:val="auto"/>
          <w:lang w:eastAsia="ar-SA"/>
        </w:rPr>
        <w:t>Transparency</w:t>
      </w:r>
      <w:proofErr w:type="spellEnd"/>
      <w:r w:rsidRPr="00F90BD0">
        <w:rPr>
          <w:rFonts w:eastAsia="Times New Roman"/>
          <w:color w:val="auto"/>
          <w:lang w:eastAsia="ar-SA"/>
        </w:rPr>
        <w:t xml:space="preserve"> Initiative (EITI) zu identifizieren.  Im ersten Teil werden  internationale Initiativen identifiziert, die sich mit Transparenz von Verträgen/Lizenzen im extraktiven Sektor befassen und der Anteil der Bundesregierung an diesen Initiativen dargelegt. In einem zweiten Teil wird die Relevanz des Themas für die deutsche EITI-Umsetzung herausgearbeitet und mögliche Herausforderungen identifiziert. </w:t>
      </w:r>
    </w:p>
    <w:p w:rsidR="00F90BD0" w:rsidRPr="00F90BD0" w:rsidRDefault="00F90BD0" w:rsidP="00F90BD0">
      <w:pPr>
        <w:keepNext/>
        <w:keepLines/>
        <w:numPr>
          <w:ilvl w:val="0"/>
          <w:numId w:val="9"/>
        </w:numPr>
        <w:suppressAutoHyphens/>
        <w:spacing w:after="120" w:line="360" w:lineRule="auto"/>
        <w:jc w:val="both"/>
        <w:rPr>
          <w:rFonts w:eastAsia="Times New Roman"/>
          <w:color w:val="auto"/>
          <w:lang w:eastAsia="ar-SA"/>
        </w:rPr>
      </w:pPr>
      <w:r w:rsidRPr="00F90BD0">
        <w:rPr>
          <w:rFonts w:eastAsia="Times New Roman"/>
          <w:b/>
          <w:bCs/>
          <w:color w:val="auto"/>
          <w:lang w:eastAsia="ar-SA"/>
        </w:rPr>
        <w:t>Internationale Initiativen zur Offenlegung von Verträgen und Lizenzen im extraktiven Sektor und der Beitrag der Bundesregierung</w:t>
      </w:r>
    </w:p>
    <w:p w:rsidR="00F90BD0" w:rsidRPr="00F90BD0" w:rsidRDefault="00F90BD0" w:rsidP="00F90BD0">
      <w:pPr>
        <w:suppressAutoHyphens/>
        <w:spacing w:after="120" w:line="360" w:lineRule="auto"/>
        <w:jc w:val="both"/>
        <w:rPr>
          <w:rFonts w:eastAsia="Times New Roman"/>
          <w:b/>
          <w:bCs/>
          <w:color w:val="auto"/>
          <w:lang w:eastAsia="ar-SA"/>
        </w:rPr>
      </w:pPr>
      <w:r w:rsidRPr="00F90BD0">
        <w:rPr>
          <w:rFonts w:eastAsia="Times New Roman"/>
          <w:color w:val="auto"/>
          <w:lang w:eastAsia="ar-SA"/>
        </w:rPr>
        <w:t xml:space="preserve">Auf internationaler Ebene befassen sich mehrere Initiativen mit dem Thema der Transparenz von Lizenzen und Verträgen. Dabei kann man zwischen jenen Initiativen unterscheiden, die den Vertragstransparenzaspekt als Teil einer Rohstoffsektor-fokussierten Strategie fordern (EITI, </w:t>
      </w:r>
      <w:proofErr w:type="spellStart"/>
      <w:r w:rsidRPr="00F90BD0">
        <w:rPr>
          <w:rFonts w:eastAsia="Times New Roman"/>
          <w:color w:val="auto"/>
          <w:lang w:eastAsia="ar-SA"/>
        </w:rPr>
        <w:t>Connex</w:t>
      </w:r>
      <w:proofErr w:type="spellEnd"/>
      <w:r w:rsidRPr="00F90BD0">
        <w:rPr>
          <w:rFonts w:eastAsia="Times New Roman"/>
          <w:color w:val="auto"/>
          <w:lang w:eastAsia="ar-SA"/>
        </w:rPr>
        <w:t xml:space="preserve">) und solchen, die sich allgemeiner mit der Offenlegung von Daten befassen und dabei  unter anderem den extraktiven Sektor einbeziehen (Open </w:t>
      </w:r>
      <w:proofErr w:type="spellStart"/>
      <w:r w:rsidRPr="00F90BD0">
        <w:rPr>
          <w:rFonts w:eastAsia="Times New Roman"/>
          <w:color w:val="auto"/>
          <w:lang w:eastAsia="ar-SA"/>
        </w:rPr>
        <w:t>Contracting</w:t>
      </w:r>
      <w:proofErr w:type="spellEnd"/>
      <w:r w:rsidRPr="00F90BD0">
        <w:rPr>
          <w:rFonts w:eastAsia="Times New Roman"/>
          <w:color w:val="auto"/>
          <w:lang w:eastAsia="ar-SA"/>
        </w:rPr>
        <w:t xml:space="preserve"> </w:t>
      </w:r>
      <w:proofErr w:type="spellStart"/>
      <w:r w:rsidRPr="00F90BD0">
        <w:rPr>
          <w:rFonts w:eastAsia="Times New Roman"/>
          <w:color w:val="auto"/>
          <w:lang w:eastAsia="ar-SA"/>
        </w:rPr>
        <w:t>Partnership</w:t>
      </w:r>
      <w:proofErr w:type="spellEnd"/>
      <w:r w:rsidRPr="00F90BD0">
        <w:rPr>
          <w:rFonts w:eastAsia="Times New Roman"/>
          <w:color w:val="auto"/>
          <w:lang w:eastAsia="ar-SA"/>
        </w:rPr>
        <w:t xml:space="preserve"> [OCP], Open </w:t>
      </w:r>
      <w:proofErr w:type="spellStart"/>
      <w:r w:rsidRPr="00F90BD0">
        <w:rPr>
          <w:rFonts w:eastAsia="Times New Roman"/>
          <w:color w:val="auto"/>
          <w:lang w:eastAsia="ar-SA"/>
        </w:rPr>
        <w:t>Government</w:t>
      </w:r>
      <w:proofErr w:type="spellEnd"/>
      <w:r w:rsidRPr="00F90BD0">
        <w:rPr>
          <w:rFonts w:eastAsia="Times New Roman"/>
          <w:color w:val="auto"/>
          <w:lang w:eastAsia="ar-SA"/>
        </w:rPr>
        <w:t xml:space="preserve"> </w:t>
      </w:r>
      <w:proofErr w:type="spellStart"/>
      <w:r w:rsidRPr="00F90BD0">
        <w:rPr>
          <w:rFonts w:eastAsia="Times New Roman"/>
          <w:color w:val="auto"/>
          <w:lang w:eastAsia="ar-SA"/>
        </w:rPr>
        <w:t>Partnership</w:t>
      </w:r>
      <w:proofErr w:type="spellEnd"/>
      <w:r w:rsidRPr="00F90BD0">
        <w:rPr>
          <w:rFonts w:eastAsia="Times New Roman"/>
          <w:color w:val="auto"/>
          <w:lang w:eastAsia="ar-SA"/>
        </w:rPr>
        <w:t xml:space="preserve"> [OGP]). </w:t>
      </w:r>
    </w:p>
    <w:p w:rsidR="00F90BD0" w:rsidRPr="00F90BD0" w:rsidRDefault="00F90BD0" w:rsidP="00F90BD0">
      <w:pPr>
        <w:keepNext/>
        <w:keepLines/>
        <w:suppressAutoHyphens/>
        <w:spacing w:after="120" w:line="360" w:lineRule="auto"/>
        <w:ind w:left="576" w:hanging="576"/>
        <w:rPr>
          <w:rFonts w:eastAsia="Times New Roman"/>
          <w:bCs/>
          <w:color w:val="auto"/>
          <w:u w:val="single"/>
          <w:lang w:eastAsia="ar-SA"/>
        </w:rPr>
      </w:pPr>
      <w:r w:rsidRPr="00F90BD0">
        <w:rPr>
          <w:rFonts w:eastAsia="Times New Roman"/>
          <w:b/>
          <w:bCs/>
          <w:color w:val="auto"/>
          <w:lang w:eastAsia="ar-SA"/>
        </w:rPr>
        <w:t xml:space="preserve">I.1. </w:t>
      </w:r>
      <w:proofErr w:type="spellStart"/>
      <w:r w:rsidRPr="00F90BD0">
        <w:rPr>
          <w:rFonts w:eastAsia="Times New Roman"/>
          <w:b/>
          <w:bCs/>
          <w:color w:val="auto"/>
          <w:lang w:eastAsia="ar-SA"/>
        </w:rPr>
        <w:t>Extractive</w:t>
      </w:r>
      <w:proofErr w:type="spellEnd"/>
      <w:r w:rsidRPr="00F90BD0">
        <w:rPr>
          <w:rFonts w:eastAsia="Times New Roman"/>
          <w:b/>
          <w:bCs/>
          <w:color w:val="auto"/>
          <w:lang w:eastAsia="ar-SA"/>
        </w:rPr>
        <w:t xml:space="preserve"> Industries </w:t>
      </w:r>
      <w:proofErr w:type="spellStart"/>
      <w:r w:rsidRPr="00F90BD0">
        <w:rPr>
          <w:rFonts w:eastAsia="Times New Roman"/>
          <w:b/>
          <w:bCs/>
          <w:color w:val="auto"/>
          <w:lang w:eastAsia="ar-SA"/>
        </w:rPr>
        <w:t>Transparency</w:t>
      </w:r>
      <w:proofErr w:type="spellEnd"/>
      <w:r w:rsidRPr="00F90BD0">
        <w:rPr>
          <w:rFonts w:eastAsia="Times New Roman"/>
          <w:b/>
          <w:bCs/>
          <w:color w:val="auto"/>
          <w:lang w:eastAsia="ar-SA"/>
        </w:rPr>
        <w:t xml:space="preserve"> Initiative</w:t>
      </w:r>
    </w:p>
    <w:p w:rsidR="00F90BD0" w:rsidRPr="00F90BD0" w:rsidRDefault="00F90BD0" w:rsidP="00F90BD0">
      <w:pPr>
        <w:suppressAutoHyphens/>
        <w:spacing w:after="120" w:line="360" w:lineRule="auto"/>
        <w:jc w:val="both"/>
        <w:rPr>
          <w:rFonts w:eastAsia="Times New Roman"/>
          <w:color w:val="auto"/>
          <w:lang w:eastAsia="ar-SA"/>
        </w:rPr>
      </w:pPr>
      <w:r w:rsidRPr="00F90BD0">
        <w:rPr>
          <w:rFonts w:eastAsia="Times New Roman"/>
          <w:color w:val="auto"/>
          <w:lang w:eastAsia="ar-SA"/>
        </w:rPr>
        <w:t xml:space="preserve">Der EITI-Standard legt fest, welche Themen von der MSG behandelt bzw. umgesetzt werden müssen und gibt zusätzlich Empfehlungen für Themen, deren Behandlung die MSG in Erwägung ziehen kann. </w:t>
      </w:r>
      <w:r>
        <w:rPr>
          <w:rFonts w:eastAsia="Times New Roman"/>
          <w:color w:val="auto"/>
          <w:lang w:eastAsia="ar-SA"/>
        </w:rPr>
        <w:t>D</w:t>
      </w:r>
      <w:r w:rsidRPr="00F90BD0">
        <w:rPr>
          <w:rFonts w:eastAsia="Times New Roman"/>
          <w:color w:val="auto"/>
          <w:lang w:eastAsia="ar-SA"/>
        </w:rPr>
        <w:t>er Aspekt der Offenlegung/Transparenz von Verträgen und Lizenzen wird in 3 Anforderungen des EITI Standard 2016 behandelt:</w:t>
      </w:r>
    </w:p>
    <w:p w:rsidR="00F90BD0" w:rsidRPr="00F90BD0" w:rsidRDefault="00F90BD0" w:rsidP="0031369B">
      <w:pPr>
        <w:suppressAutoHyphens/>
        <w:spacing w:after="120" w:line="360" w:lineRule="auto"/>
        <w:jc w:val="both"/>
        <w:rPr>
          <w:rFonts w:eastAsia="Times New Roman"/>
          <w:color w:val="auto"/>
          <w:lang w:eastAsia="ar-SA"/>
        </w:rPr>
      </w:pPr>
      <w:r w:rsidRPr="00F90BD0">
        <w:rPr>
          <w:rFonts w:eastAsia="Times New Roman"/>
          <w:b/>
          <w:color w:val="auto"/>
          <w:lang w:eastAsia="ar-SA"/>
        </w:rPr>
        <w:t>Anforderung 2.3 zu „Lizenzregister“</w:t>
      </w:r>
      <w:r w:rsidRPr="00F90BD0">
        <w:rPr>
          <w:rFonts w:eastAsia="Times New Roman"/>
          <w:color w:val="auto"/>
          <w:lang w:eastAsia="ar-SA"/>
        </w:rPr>
        <w:t xml:space="preserve"> schreibt vor, dass EITI-implementierende Länder „ein öffentlich zugängliches Register oder Katastersystem(e) führen“ müssen, welches die folgenden Informationen zu allen einzelnen Lizenzen aller Unternehmen enthält: </w:t>
      </w:r>
    </w:p>
    <w:p w:rsidR="00F90BD0" w:rsidRPr="00F90BD0" w:rsidRDefault="00F90BD0" w:rsidP="0031369B">
      <w:pPr>
        <w:numPr>
          <w:ilvl w:val="0"/>
          <w:numId w:val="8"/>
        </w:numPr>
        <w:suppressAutoHyphens/>
        <w:spacing w:after="120" w:line="240" w:lineRule="auto"/>
        <w:jc w:val="both"/>
        <w:rPr>
          <w:rFonts w:eastAsia="Times New Roman"/>
          <w:color w:val="auto"/>
          <w:lang w:eastAsia="ar-SA"/>
        </w:rPr>
      </w:pPr>
      <w:r w:rsidRPr="00F90BD0">
        <w:rPr>
          <w:rFonts w:eastAsia="Times New Roman"/>
          <w:color w:val="auto"/>
          <w:lang w:eastAsia="ar-SA"/>
        </w:rPr>
        <w:t>Lizenzinhaber</w:t>
      </w:r>
    </w:p>
    <w:p w:rsidR="00F90BD0" w:rsidRPr="00F90BD0" w:rsidRDefault="00F90BD0" w:rsidP="0031369B">
      <w:pPr>
        <w:numPr>
          <w:ilvl w:val="0"/>
          <w:numId w:val="8"/>
        </w:numPr>
        <w:suppressAutoHyphens/>
        <w:spacing w:after="120" w:line="240" w:lineRule="auto"/>
        <w:jc w:val="both"/>
        <w:rPr>
          <w:rFonts w:eastAsia="Times New Roman"/>
          <w:color w:val="auto"/>
          <w:lang w:eastAsia="ar-SA"/>
        </w:rPr>
      </w:pPr>
      <w:r w:rsidRPr="00F90BD0">
        <w:rPr>
          <w:rFonts w:eastAsia="Times New Roman"/>
          <w:color w:val="auto"/>
          <w:lang w:eastAsia="ar-SA"/>
        </w:rPr>
        <w:t>Koordinaten des Lizenzgebiets</w:t>
      </w:r>
    </w:p>
    <w:p w:rsidR="00F90BD0" w:rsidRPr="00F90BD0" w:rsidRDefault="00F90BD0" w:rsidP="0031369B">
      <w:pPr>
        <w:numPr>
          <w:ilvl w:val="0"/>
          <w:numId w:val="8"/>
        </w:numPr>
        <w:suppressAutoHyphens/>
        <w:spacing w:after="120" w:line="240" w:lineRule="auto"/>
        <w:jc w:val="both"/>
        <w:rPr>
          <w:rFonts w:eastAsia="Times New Roman"/>
          <w:color w:val="auto"/>
          <w:lang w:eastAsia="ar-SA"/>
        </w:rPr>
      </w:pPr>
      <w:r w:rsidRPr="00F90BD0">
        <w:rPr>
          <w:rFonts w:eastAsia="Times New Roman"/>
          <w:color w:val="auto"/>
          <w:lang w:eastAsia="ar-SA"/>
        </w:rPr>
        <w:t>Antragsdatum</w:t>
      </w:r>
    </w:p>
    <w:p w:rsidR="00F90BD0" w:rsidRPr="00F90BD0" w:rsidRDefault="00F90BD0" w:rsidP="0031369B">
      <w:pPr>
        <w:numPr>
          <w:ilvl w:val="0"/>
          <w:numId w:val="8"/>
        </w:numPr>
        <w:suppressAutoHyphens/>
        <w:spacing w:after="120" w:line="240" w:lineRule="auto"/>
        <w:jc w:val="both"/>
        <w:rPr>
          <w:rFonts w:eastAsia="Times New Roman"/>
          <w:color w:val="auto"/>
          <w:lang w:eastAsia="ar-SA"/>
        </w:rPr>
      </w:pPr>
      <w:r w:rsidRPr="00F90BD0">
        <w:rPr>
          <w:rFonts w:eastAsia="Times New Roman"/>
          <w:color w:val="auto"/>
          <w:lang w:eastAsia="ar-SA"/>
        </w:rPr>
        <w:t>Erteilungsdatum</w:t>
      </w:r>
    </w:p>
    <w:p w:rsidR="00F90BD0" w:rsidRPr="00F90BD0" w:rsidRDefault="00F90BD0" w:rsidP="0031369B">
      <w:pPr>
        <w:numPr>
          <w:ilvl w:val="0"/>
          <w:numId w:val="8"/>
        </w:numPr>
        <w:suppressAutoHyphens/>
        <w:spacing w:after="120" w:line="240" w:lineRule="auto"/>
        <w:jc w:val="both"/>
        <w:rPr>
          <w:rFonts w:eastAsia="Times New Roman"/>
          <w:color w:val="auto"/>
          <w:lang w:eastAsia="ar-SA"/>
        </w:rPr>
      </w:pPr>
      <w:r w:rsidRPr="00F90BD0">
        <w:rPr>
          <w:rFonts w:eastAsia="Times New Roman"/>
          <w:color w:val="auto"/>
          <w:lang w:eastAsia="ar-SA"/>
        </w:rPr>
        <w:t>Geltungsdatum</w:t>
      </w:r>
    </w:p>
    <w:p w:rsidR="00F90BD0" w:rsidRPr="00F90BD0" w:rsidRDefault="00F90BD0" w:rsidP="0031369B">
      <w:pPr>
        <w:numPr>
          <w:ilvl w:val="0"/>
          <w:numId w:val="8"/>
        </w:numPr>
        <w:suppressAutoHyphens/>
        <w:spacing w:after="120" w:line="240" w:lineRule="auto"/>
        <w:jc w:val="both"/>
        <w:rPr>
          <w:rFonts w:eastAsia="Times New Roman"/>
          <w:b/>
          <w:color w:val="auto"/>
          <w:lang w:eastAsia="ar-SA"/>
        </w:rPr>
      </w:pPr>
      <w:r w:rsidRPr="00F90BD0">
        <w:rPr>
          <w:rFonts w:eastAsia="Times New Roman"/>
          <w:color w:val="auto"/>
          <w:lang w:eastAsia="ar-SA"/>
        </w:rPr>
        <w:t>Art des geförderten Rohstoffs (bei Förderlizenzen)</w:t>
      </w:r>
    </w:p>
    <w:p w:rsidR="00F90BD0" w:rsidRPr="00F90BD0" w:rsidRDefault="00F90BD0" w:rsidP="0031369B">
      <w:pPr>
        <w:suppressAutoHyphens/>
        <w:spacing w:after="120" w:line="360" w:lineRule="auto"/>
        <w:jc w:val="both"/>
        <w:rPr>
          <w:rFonts w:eastAsia="Times New Roman"/>
          <w:color w:val="auto"/>
          <w:lang w:eastAsia="ar-SA"/>
        </w:rPr>
      </w:pPr>
      <w:r w:rsidRPr="00F90BD0">
        <w:rPr>
          <w:rFonts w:eastAsia="Times New Roman"/>
          <w:b/>
          <w:color w:val="auto"/>
          <w:lang w:eastAsia="ar-SA"/>
        </w:rPr>
        <w:lastRenderedPageBreak/>
        <w:t>Anforderung 2.2 „Lizenzzuweisung“</w:t>
      </w:r>
      <w:r w:rsidRPr="00F90BD0">
        <w:rPr>
          <w:rFonts w:eastAsia="Times New Roman"/>
          <w:color w:val="auto"/>
          <w:lang w:eastAsia="ar-SA"/>
        </w:rPr>
        <w:t xml:space="preserve"> bezieht sich auf die Informationen zur Vergabe und Übertragung von Lizenzen aller Unternehmen. Folgende Informationen müssen offengelegt werden:</w:t>
      </w:r>
    </w:p>
    <w:p w:rsidR="00F90BD0" w:rsidRPr="00F90BD0" w:rsidRDefault="00F90BD0" w:rsidP="0031369B">
      <w:pPr>
        <w:numPr>
          <w:ilvl w:val="0"/>
          <w:numId w:val="7"/>
        </w:numPr>
        <w:suppressAutoHyphens/>
        <w:spacing w:after="120" w:line="240" w:lineRule="auto"/>
        <w:jc w:val="both"/>
        <w:rPr>
          <w:rFonts w:eastAsia="Times New Roman"/>
          <w:color w:val="auto"/>
          <w:lang w:eastAsia="ar-SA"/>
        </w:rPr>
      </w:pPr>
      <w:r w:rsidRPr="00F90BD0">
        <w:rPr>
          <w:rFonts w:eastAsia="Times New Roman"/>
          <w:color w:val="auto"/>
          <w:lang w:eastAsia="ar-SA"/>
        </w:rPr>
        <w:t>Beschreibung des Prozesses zur Lizenzvergabe/-übertragung</w:t>
      </w:r>
    </w:p>
    <w:p w:rsidR="00F90BD0" w:rsidRPr="00F90BD0" w:rsidRDefault="00F90BD0" w:rsidP="0031369B">
      <w:pPr>
        <w:numPr>
          <w:ilvl w:val="0"/>
          <w:numId w:val="7"/>
        </w:numPr>
        <w:suppressAutoHyphens/>
        <w:spacing w:after="120" w:line="240" w:lineRule="auto"/>
        <w:jc w:val="both"/>
        <w:rPr>
          <w:rFonts w:eastAsia="Times New Roman"/>
          <w:color w:val="auto"/>
          <w:lang w:eastAsia="ar-SA"/>
        </w:rPr>
      </w:pPr>
      <w:r w:rsidRPr="00F90BD0">
        <w:rPr>
          <w:rFonts w:eastAsia="Times New Roman"/>
          <w:color w:val="auto"/>
          <w:lang w:eastAsia="ar-SA"/>
        </w:rPr>
        <w:t>Technische und finanzielle Kriterien, die für den Prozess angewandt wurden</w:t>
      </w:r>
    </w:p>
    <w:p w:rsidR="00F90BD0" w:rsidRPr="00F90BD0" w:rsidRDefault="00F90BD0" w:rsidP="0031369B">
      <w:pPr>
        <w:numPr>
          <w:ilvl w:val="0"/>
          <w:numId w:val="7"/>
        </w:numPr>
        <w:suppressAutoHyphens/>
        <w:spacing w:after="120" w:line="240" w:lineRule="auto"/>
        <w:jc w:val="both"/>
        <w:rPr>
          <w:rFonts w:eastAsia="Times New Roman"/>
          <w:color w:val="auto"/>
          <w:lang w:eastAsia="ar-SA"/>
        </w:rPr>
      </w:pPr>
      <w:r w:rsidRPr="00F90BD0">
        <w:rPr>
          <w:rFonts w:eastAsia="Times New Roman"/>
          <w:color w:val="auto"/>
          <w:lang w:eastAsia="ar-SA"/>
        </w:rPr>
        <w:t>Informationen über den Empfänger (inkl. der evtl. Konsortiums-Mitglieder)</w:t>
      </w:r>
    </w:p>
    <w:p w:rsidR="00F90BD0" w:rsidRPr="00F90BD0" w:rsidRDefault="00F90BD0" w:rsidP="0031369B">
      <w:pPr>
        <w:numPr>
          <w:ilvl w:val="0"/>
          <w:numId w:val="7"/>
        </w:numPr>
        <w:suppressAutoHyphens/>
        <w:spacing w:after="120" w:line="240" w:lineRule="auto"/>
        <w:jc w:val="both"/>
        <w:rPr>
          <w:rFonts w:eastAsia="Times New Roman"/>
          <w:color w:val="auto"/>
          <w:lang w:eastAsia="ar-SA"/>
        </w:rPr>
      </w:pPr>
      <w:r w:rsidRPr="00F90BD0">
        <w:rPr>
          <w:rFonts w:eastAsia="Times New Roman"/>
          <w:color w:val="auto"/>
          <w:lang w:eastAsia="ar-SA"/>
        </w:rPr>
        <w:t>Signifikante Abweichungen vom geltenden Rechts- und Regulierungsrahmen während der Vergabe</w:t>
      </w:r>
    </w:p>
    <w:p w:rsidR="00F90BD0" w:rsidRPr="00F90BD0" w:rsidRDefault="00F90BD0" w:rsidP="00F90BD0">
      <w:pPr>
        <w:suppressAutoHyphens/>
        <w:spacing w:after="120" w:line="360" w:lineRule="auto"/>
        <w:jc w:val="both"/>
        <w:rPr>
          <w:rFonts w:eastAsia="Times New Roman"/>
          <w:color w:val="auto"/>
          <w:lang w:eastAsia="ar-SA"/>
        </w:rPr>
      </w:pPr>
      <w:r w:rsidRPr="00F90BD0">
        <w:rPr>
          <w:rFonts w:eastAsia="Times New Roman"/>
          <w:color w:val="auto"/>
          <w:lang w:eastAsia="ar-SA"/>
        </w:rPr>
        <w:t>Zusätzlich zu diesen Informationen zum Vergabe-/Übertragungsprozess, ist es im Fall einer öffentlichen Ausschreibung notwendig, dass eine</w:t>
      </w:r>
      <w:r w:rsidRPr="00F90BD0">
        <w:rPr>
          <w:rFonts w:eastAsia="Times New Roman"/>
          <w:b/>
          <w:color w:val="auto"/>
          <w:lang w:eastAsia="ar-SA"/>
        </w:rPr>
        <w:t xml:space="preserve"> Liste der Bieter </w:t>
      </w:r>
      <w:r w:rsidRPr="00F90BD0">
        <w:rPr>
          <w:rFonts w:eastAsia="Times New Roman"/>
          <w:color w:val="auto"/>
          <w:lang w:eastAsia="ar-SA"/>
        </w:rPr>
        <w:t>und</w:t>
      </w:r>
      <w:r w:rsidRPr="00F90BD0">
        <w:rPr>
          <w:rFonts w:eastAsia="Times New Roman"/>
          <w:b/>
          <w:color w:val="auto"/>
          <w:lang w:eastAsia="ar-SA"/>
        </w:rPr>
        <w:t xml:space="preserve"> die Ausschreibungskriterien </w:t>
      </w:r>
      <w:r w:rsidRPr="00F90BD0">
        <w:rPr>
          <w:rFonts w:eastAsia="Times New Roman"/>
          <w:color w:val="auto"/>
          <w:lang w:eastAsia="ar-SA"/>
        </w:rPr>
        <w:t xml:space="preserve">offengelegt werden. Weiter steht es der MSG frei, zusätzliche Informationen zum Vergabeprozess zu veröffentlichen und eine Kommentierung zur Effizienz und Effektivität der Zuweisungssysteme im EITI-Bericht </w:t>
      </w:r>
      <w:r w:rsidR="0031369B" w:rsidRPr="00F90BD0">
        <w:rPr>
          <w:rFonts w:eastAsia="Times New Roman"/>
          <w:color w:val="auto"/>
          <w:lang w:eastAsia="ar-SA"/>
        </w:rPr>
        <w:t>vorzunehmen.</w:t>
      </w:r>
    </w:p>
    <w:p w:rsidR="00F90BD0" w:rsidRDefault="00F90BD0" w:rsidP="00F90BD0">
      <w:pPr>
        <w:suppressAutoHyphens/>
        <w:spacing w:after="120" w:line="360" w:lineRule="auto"/>
        <w:jc w:val="both"/>
        <w:rPr>
          <w:rFonts w:eastAsia="Times New Roman"/>
          <w:color w:val="auto"/>
          <w:lang w:eastAsia="ar-SA"/>
        </w:rPr>
      </w:pPr>
      <w:r w:rsidRPr="00F90BD0">
        <w:rPr>
          <w:rFonts w:eastAsia="Times New Roman"/>
          <w:color w:val="auto"/>
          <w:lang w:eastAsia="ar-SA"/>
        </w:rPr>
        <w:t>Somit unterliegt sowohl der Vergabeprozess als auch die Information zur Lizenz selbst mit EITI einer Veröffentlichungspflicht.</w:t>
      </w:r>
    </w:p>
    <w:p w:rsidR="00F90BD0" w:rsidRPr="00F90BD0" w:rsidRDefault="00F90BD0" w:rsidP="00F90BD0">
      <w:pPr>
        <w:suppressAutoHyphens/>
        <w:spacing w:after="120" w:line="360" w:lineRule="auto"/>
        <w:jc w:val="both"/>
        <w:rPr>
          <w:rFonts w:eastAsia="Times New Roman"/>
          <w:color w:val="auto"/>
          <w:lang w:eastAsia="ar-SA"/>
        </w:rPr>
      </w:pPr>
      <w:r w:rsidRPr="00F90BD0">
        <w:rPr>
          <w:rFonts w:eastAsia="Times New Roman"/>
          <w:color w:val="auto"/>
          <w:lang w:eastAsia="ar-SA"/>
        </w:rPr>
        <w:t xml:space="preserve">Unter </w:t>
      </w:r>
      <w:r w:rsidRPr="00F90BD0">
        <w:rPr>
          <w:rFonts w:eastAsia="Times New Roman"/>
          <w:b/>
          <w:color w:val="auto"/>
          <w:lang w:eastAsia="ar-SA"/>
        </w:rPr>
        <w:t>Anforderung 2.4 „Verträge“</w:t>
      </w:r>
      <w:r w:rsidRPr="00F90BD0">
        <w:rPr>
          <w:rFonts w:eastAsia="Times New Roman"/>
          <w:color w:val="auto"/>
          <w:lang w:eastAsia="ar-SA"/>
        </w:rPr>
        <w:t xml:space="preserve">, empfiehlt (nicht verpflichtende Anforderung)  der EITI-Standard eine vollständige Offenlegung jeglicher Verträge </w:t>
      </w:r>
      <w:r w:rsidRPr="00F90BD0">
        <w:rPr>
          <w:rFonts w:eastAsia="Times New Roman"/>
          <w:color w:val="auto"/>
          <w:u w:val="single"/>
          <w:lang w:eastAsia="ar-SA"/>
        </w:rPr>
        <w:t>und</w:t>
      </w:r>
      <w:r w:rsidRPr="00F90BD0">
        <w:rPr>
          <w:rFonts w:eastAsia="Times New Roman"/>
          <w:color w:val="auto"/>
          <w:lang w:eastAsia="ar-SA"/>
        </w:rPr>
        <w:t xml:space="preserve"> Lizenzen, in denen „die Bedingungen im Zusammenhang mit der Förderung von Öl, Gas und mineralischen Rohstoffen niedergelegt sind“. Bei dieser Offenlegung geht es jedoch nicht um die relevanten Vertrags-/Lizenzinformationen, sondern um den „vollständigen Wortlaut“ der Vereinbarung und aller Anhänge, Zusätze, Nachträge, Änderungen oder Neufassungen. </w:t>
      </w:r>
    </w:p>
    <w:p w:rsidR="00F90BD0" w:rsidRPr="00194168" w:rsidRDefault="00F90BD0" w:rsidP="00F90BD0">
      <w:pPr>
        <w:keepNext/>
        <w:keepLines/>
        <w:suppressAutoHyphens/>
        <w:spacing w:after="120" w:line="360" w:lineRule="auto"/>
        <w:ind w:left="576" w:hanging="576"/>
        <w:rPr>
          <w:rFonts w:eastAsia="Times New Roman"/>
          <w:bCs/>
          <w:color w:val="auto"/>
          <w:u w:val="single"/>
          <w:lang w:eastAsia="ar-SA"/>
        </w:rPr>
      </w:pPr>
      <w:r w:rsidRPr="00194168">
        <w:rPr>
          <w:rFonts w:eastAsia="Times New Roman"/>
          <w:b/>
          <w:bCs/>
          <w:color w:val="auto"/>
          <w:lang w:eastAsia="ar-SA"/>
        </w:rPr>
        <w:t xml:space="preserve">I.2. Open </w:t>
      </w:r>
      <w:proofErr w:type="spellStart"/>
      <w:r w:rsidRPr="00194168">
        <w:rPr>
          <w:rFonts w:eastAsia="Times New Roman"/>
          <w:b/>
          <w:bCs/>
          <w:color w:val="auto"/>
          <w:lang w:eastAsia="ar-SA"/>
        </w:rPr>
        <w:t>Contracting</w:t>
      </w:r>
      <w:proofErr w:type="spellEnd"/>
      <w:r w:rsidRPr="00194168">
        <w:rPr>
          <w:rFonts w:eastAsia="Times New Roman"/>
          <w:b/>
          <w:bCs/>
          <w:color w:val="auto"/>
          <w:lang w:eastAsia="ar-SA"/>
        </w:rPr>
        <w:t xml:space="preserve"> </w:t>
      </w:r>
      <w:proofErr w:type="spellStart"/>
      <w:r w:rsidRPr="00194168">
        <w:rPr>
          <w:rFonts w:eastAsia="Times New Roman"/>
          <w:b/>
          <w:bCs/>
          <w:color w:val="auto"/>
          <w:lang w:eastAsia="ar-SA"/>
        </w:rPr>
        <w:t>Partnership</w:t>
      </w:r>
      <w:proofErr w:type="spellEnd"/>
    </w:p>
    <w:p w:rsidR="00F90BD0" w:rsidRPr="00194168" w:rsidRDefault="00F90BD0" w:rsidP="00F90BD0">
      <w:pPr>
        <w:suppressAutoHyphens/>
        <w:spacing w:after="120" w:line="360" w:lineRule="auto"/>
        <w:jc w:val="both"/>
        <w:rPr>
          <w:rFonts w:eastAsia="Times New Roman"/>
          <w:color w:val="auto"/>
          <w:lang w:eastAsia="ar-SA"/>
        </w:rPr>
      </w:pPr>
      <w:r w:rsidRPr="00F90BD0">
        <w:rPr>
          <w:rFonts w:eastAsia="Times New Roman"/>
          <w:color w:val="auto"/>
          <w:lang w:eastAsia="ar-SA"/>
        </w:rPr>
        <w:t xml:space="preserve">Da die EITI bis zur Überarbeitung des EITI-Standards 2013  auf den Zahlungsabgleich fokussiert war, rückte das Thema Vertrags-/Lizenztransparenz bei einer Gruppe von Institutionen (Steuerungsgruppe: </w:t>
      </w:r>
      <w:proofErr w:type="spellStart"/>
      <w:r w:rsidRPr="00F90BD0">
        <w:rPr>
          <w:rFonts w:eastAsia="Times New Roman"/>
          <w:color w:val="auto"/>
          <w:lang w:eastAsia="ar-SA"/>
        </w:rPr>
        <w:t>CoST</w:t>
      </w:r>
      <w:proofErr w:type="spellEnd"/>
      <w:r w:rsidRPr="00F90BD0">
        <w:rPr>
          <w:rFonts w:eastAsia="Times New Roman"/>
          <w:color w:val="auto"/>
          <w:lang w:eastAsia="ar-SA"/>
        </w:rPr>
        <w:t xml:space="preserve">, GIZ [im Auftrag des BMZ], </w:t>
      </w:r>
      <w:proofErr w:type="spellStart"/>
      <w:r w:rsidRPr="00F90BD0">
        <w:rPr>
          <w:rFonts w:eastAsia="Times New Roman"/>
          <w:color w:val="auto"/>
          <w:lang w:eastAsia="ar-SA"/>
        </w:rPr>
        <w:t>Integrity</w:t>
      </w:r>
      <w:proofErr w:type="spellEnd"/>
      <w:r w:rsidRPr="00F90BD0">
        <w:rPr>
          <w:rFonts w:eastAsia="Times New Roman"/>
          <w:color w:val="auto"/>
          <w:lang w:eastAsia="ar-SA"/>
        </w:rPr>
        <w:t xml:space="preserve"> Action, Kolumbien, Philippinen, Oxfam </w:t>
      </w:r>
      <w:proofErr w:type="spellStart"/>
      <w:r w:rsidRPr="00F90BD0">
        <w:rPr>
          <w:rFonts w:eastAsia="Times New Roman"/>
          <w:color w:val="auto"/>
          <w:lang w:eastAsia="ar-SA"/>
        </w:rPr>
        <w:t>America</w:t>
      </w:r>
      <w:proofErr w:type="spellEnd"/>
      <w:r w:rsidRPr="00F90BD0">
        <w:rPr>
          <w:rFonts w:eastAsia="Times New Roman"/>
          <w:color w:val="auto"/>
          <w:lang w:eastAsia="ar-SA"/>
        </w:rPr>
        <w:t xml:space="preserve">, </w:t>
      </w:r>
      <w:proofErr w:type="spellStart"/>
      <w:r w:rsidRPr="00F90BD0">
        <w:rPr>
          <w:rFonts w:eastAsia="Times New Roman"/>
          <w:color w:val="auto"/>
          <w:lang w:eastAsia="ar-SA"/>
        </w:rPr>
        <w:t>Transparency</w:t>
      </w:r>
      <w:proofErr w:type="spellEnd"/>
      <w:r w:rsidRPr="00F90BD0">
        <w:rPr>
          <w:rFonts w:eastAsia="Times New Roman"/>
          <w:color w:val="auto"/>
          <w:lang w:eastAsia="ar-SA"/>
        </w:rPr>
        <w:t xml:space="preserve"> International, World Bank Institute) in den Vordergrund. Hintergrund der Überlegung war, dass die durch EITI vorgesehene Offenlegung zwar Diskrepanzen zwischen Unternehmenszahlungen und Regierungseinnahmen aufdecken kann, dabei aber die Frage völlig unbeantwortet bliebe, ob Unternehmen auch tatsächlich die vertraglich vereinbarten Zahlungen leisten. Durch eine Offenlegung entlang des gesamten Vergabeprozesses und eine Unterstützung bei der Bewertung der Verträge (z.B. durch </w:t>
      </w:r>
      <w:r w:rsidRPr="00F90BD0">
        <w:rPr>
          <w:rFonts w:eastAsia="Times New Roman"/>
          <w:color w:val="auto"/>
          <w:lang w:eastAsia="ar-SA"/>
        </w:rPr>
        <w:lastRenderedPageBreak/>
        <w:t>Trainings der Zivilgesellschaft, oder Handbücher</w:t>
      </w:r>
      <w:r w:rsidRPr="00F90BD0">
        <w:rPr>
          <w:rFonts w:eastAsia="Times New Roman"/>
          <w:color w:val="auto"/>
          <w:vertAlign w:val="superscript"/>
          <w:lang w:eastAsia="ar-SA"/>
        </w:rPr>
        <w:footnoteReference w:id="1"/>
      </w:r>
      <w:r w:rsidRPr="00F90BD0">
        <w:rPr>
          <w:rFonts w:eastAsia="Times New Roman"/>
          <w:color w:val="auto"/>
          <w:lang w:eastAsia="ar-SA"/>
        </w:rPr>
        <w:t xml:space="preserve">), kann diese verbesserte Kontrolle erzielt werden. Die Besonderheit des Open </w:t>
      </w:r>
      <w:proofErr w:type="spellStart"/>
      <w:r w:rsidRPr="00F90BD0">
        <w:rPr>
          <w:rFonts w:eastAsia="Times New Roman"/>
          <w:color w:val="auto"/>
          <w:lang w:eastAsia="ar-SA"/>
        </w:rPr>
        <w:t>Contracting</w:t>
      </w:r>
      <w:proofErr w:type="spellEnd"/>
      <w:r w:rsidRPr="00F90BD0">
        <w:rPr>
          <w:rFonts w:eastAsia="Times New Roman"/>
          <w:color w:val="auto"/>
          <w:lang w:eastAsia="ar-SA"/>
        </w:rPr>
        <w:t xml:space="preserve"> </w:t>
      </w:r>
      <w:proofErr w:type="spellStart"/>
      <w:r w:rsidRPr="00F90BD0">
        <w:rPr>
          <w:rFonts w:eastAsia="Times New Roman"/>
          <w:color w:val="auto"/>
          <w:lang w:eastAsia="ar-SA"/>
        </w:rPr>
        <w:t>Partnership</w:t>
      </w:r>
      <w:proofErr w:type="spellEnd"/>
      <w:r w:rsidRPr="00F90BD0">
        <w:rPr>
          <w:rFonts w:eastAsia="Times New Roman"/>
          <w:color w:val="auto"/>
          <w:lang w:eastAsia="ar-SA"/>
        </w:rPr>
        <w:t xml:space="preserve"> (OCP)</w:t>
      </w:r>
      <w:r w:rsidR="00926B5F">
        <w:rPr>
          <w:rFonts w:eastAsia="Times New Roman"/>
          <w:color w:val="auto"/>
          <w:lang w:eastAsia="ar-SA"/>
        </w:rPr>
        <w:t xml:space="preserve"> </w:t>
      </w:r>
      <w:r w:rsidRPr="00F90BD0">
        <w:rPr>
          <w:rFonts w:eastAsia="Times New Roman"/>
          <w:color w:val="auto"/>
          <w:lang w:eastAsia="ar-SA"/>
        </w:rPr>
        <w:t>im Gegensatz zu anderen Vertragstransparenzinitiativen ist  der Fokus der vollständigen Offenlegung und auf den gesamten „</w:t>
      </w:r>
      <w:proofErr w:type="spellStart"/>
      <w:r w:rsidRPr="00F90BD0">
        <w:rPr>
          <w:rFonts w:eastAsia="Times New Roman"/>
          <w:color w:val="auto"/>
          <w:lang w:eastAsia="ar-SA"/>
        </w:rPr>
        <w:t>Contracting</w:t>
      </w:r>
      <w:proofErr w:type="spellEnd"/>
      <w:r w:rsidRPr="00F90BD0">
        <w:rPr>
          <w:rFonts w:eastAsia="Times New Roman"/>
          <w:color w:val="auto"/>
          <w:lang w:eastAsia="ar-SA"/>
        </w:rPr>
        <w:t>“-Prozess und die Möglichkeit der Komplementa</w:t>
      </w:r>
      <w:r w:rsidR="00194168">
        <w:rPr>
          <w:rFonts w:eastAsia="Times New Roman"/>
          <w:color w:val="auto"/>
          <w:lang w:eastAsia="ar-SA"/>
        </w:rPr>
        <w:t xml:space="preserve">rität mit anderen Initiativen. </w:t>
      </w:r>
      <w:r w:rsidRPr="00F90BD0">
        <w:rPr>
          <w:rFonts w:eastAsia="Times New Roman"/>
          <w:color w:val="auto"/>
          <w:lang w:eastAsia="ar-SA"/>
        </w:rPr>
        <w:t xml:space="preserve">Die OCP arbeitet auf globaler Ebene, indem sie die Prinzipien und Standards von Open </w:t>
      </w:r>
      <w:proofErr w:type="spellStart"/>
      <w:r w:rsidRPr="00F90BD0">
        <w:rPr>
          <w:rFonts w:eastAsia="Times New Roman"/>
          <w:color w:val="auto"/>
          <w:lang w:eastAsia="ar-SA"/>
        </w:rPr>
        <w:t>Contracting</w:t>
      </w:r>
      <w:proofErr w:type="spellEnd"/>
      <w:r w:rsidRPr="00F90BD0">
        <w:rPr>
          <w:rFonts w:eastAsia="Times New Roman"/>
          <w:color w:val="auto"/>
          <w:lang w:eastAsia="ar-SA"/>
        </w:rPr>
        <w:t xml:space="preserve"> verbreitet und kann zudem von Interessierten auf nationaler Ebene um Unterstützung gebeten werden. Die durch einen Konsultationsprozess erarbeiteten Open </w:t>
      </w:r>
      <w:proofErr w:type="spellStart"/>
      <w:r w:rsidRPr="00F90BD0">
        <w:rPr>
          <w:rFonts w:eastAsia="Times New Roman"/>
          <w:color w:val="auto"/>
          <w:lang w:eastAsia="ar-SA"/>
        </w:rPr>
        <w:t>Contracting</w:t>
      </w:r>
      <w:proofErr w:type="spellEnd"/>
      <w:r w:rsidRPr="00F90BD0">
        <w:rPr>
          <w:rFonts w:eastAsia="Times New Roman"/>
          <w:color w:val="auto"/>
          <w:lang w:eastAsia="ar-SA"/>
        </w:rPr>
        <w:t xml:space="preserve"> Global </w:t>
      </w:r>
      <w:proofErr w:type="spellStart"/>
      <w:r w:rsidRPr="00F90BD0">
        <w:rPr>
          <w:rFonts w:eastAsia="Times New Roman"/>
          <w:color w:val="auto"/>
          <w:lang w:eastAsia="ar-SA"/>
        </w:rPr>
        <w:t>Principles</w:t>
      </w:r>
      <w:proofErr w:type="spellEnd"/>
      <w:r w:rsidRPr="00F90BD0">
        <w:rPr>
          <w:rFonts w:eastAsia="Times New Roman"/>
          <w:color w:val="auto"/>
          <w:lang w:eastAsia="ar-SA"/>
        </w:rPr>
        <w:t xml:space="preserve"> spiegeln dabei die international vorherrschenden Normen und </w:t>
      </w:r>
      <w:proofErr w:type="spellStart"/>
      <w:r w:rsidRPr="00F90BD0">
        <w:rPr>
          <w:rFonts w:eastAsia="Times New Roman"/>
          <w:i/>
          <w:color w:val="auto"/>
          <w:lang w:eastAsia="ar-SA"/>
        </w:rPr>
        <w:t>best</w:t>
      </w:r>
      <w:proofErr w:type="spellEnd"/>
      <w:r w:rsidRPr="00F90BD0">
        <w:rPr>
          <w:rFonts w:eastAsia="Times New Roman"/>
          <w:i/>
          <w:color w:val="auto"/>
          <w:lang w:eastAsia="ar-SA"/>
        </w:rPr>
        <w:t xml:space="preserve"> </w:t>
      </w:r>
      <w:proofErr w:type="spellStart"/>
      <w:r w:rsidRPr="00F90BD0">
        <w:rPr>
          <w:rFonts w:eastAsia="Times New Roman"/>
          <w:i/>
          <w:color w:val="auto"/>
          <w:lang w:eastAsia="ar-SA"/>
        </w:rPr>
        <w:t>practices</w:t>
      </w:r>
      <w:proofErr w:type="spellEnd"/>
      <w:r w:rsidRPr="00F90BD0">
        <w:rPr>
          <w:rFonts w:eastAsia="Times New Roman"/>
          <w:color w:val="auto"/>
          <w:lang w:eastAsia="ar-SA"/>
        </w:rPr>
        <w:t xml:space="preserve"> im Bereich des Open </w:t>
      </w:r>
      <w:proofErr w:type="spellStart"/>
      <w:r w:rsidRPr="00F90BD0">
        <w:rPr>
          <w:rFonts w:eastAsia="Times New Roman"/>
          <w:color w:val="auto"/>
          <w:lang w:eastAsia="ar-SA"/>
        </w:rPr>
        <w:t>Contracting</w:t>
      </w:r>
      <w:proofErr w:type="spellEnd"/>
      <w:r w:rsidRPr="00F90BD0">
        <w:rPr>
          <w:rFonts w:eastAsia="Times New Roman"/>
          <w:color w:val="auto"/>
          <w:lang w:eastAsia="ar-SA"/>
        </w:rPr>
        <w:t xml:space="preserve"> wider und können sowohl als internationale Leitlinie als auch als Orientierung für lokale Umsetzungen orientieren genutzt werden.</w:t>
      </w:r>
      <w:r w:rsidRPr="00F90BD0">
        <w:rPr>
          <w:rFonts w:eastAsia="Times New Roman"/>
          <w:color w:val="auto"/>
          <w:vertAlign w:val="superscript"/>
          <w:lang w:eastAsia="ar-SA"/>
        </w:rPr>
        <w:footnoteReference w:id="2"/>
      </w:r>
      <w:r w:rsidRPr="00F90BD0">
        <w:rPr>
          <w:rFonts w:eastAsia="Times New Roman"/>
          <w:color w:val="auto"/>
          <w:lang w:eastAsia="ar-SA"/>
        </w:rPr>
        <w:t xml:space="preserve"> Zudem wird momentan ein globaler Datenstandard entwickelt (Open </w:t>
      </w:r>
      <w:proofErr w:type="spellStart"/>
      <w:r w:rsidRPr="00F90BD0">
        <w:rPr>
          <w:rFonts w:eastAsia="Times New Roman"/>
          <w:color w:val="auto"/>
          <w:lang w:eastAsia="ar-SA"/>
        </w:rPr>
        <w:t>Contracting</w:t>
      </w:r>
      <w:proofErr w:type="spellEnd"/>
      <w:r w:rsidRPr="00F90BD0">
        <w:rPr>
          <w:rFonts w:eastAsia="Times New Roman"/>
          <w:color w:val="auto"/>
          <w:lang w:eastAsia="ar-SA"/>
        </w:rPr>
        <w:t xml:space="preserve"> Data Standard – OCDS). </w:t>
      </w:r>
      <w:r w:rsidRPr="00F90BD0">
        <w:rPr>
          <w:rFonts w:eastAsia="Times New Roman"/>
          <w:b/>
          <w:color w:val="auto"/>
          <w:lang w:eastAsia="ar-SA"/>
        </w:rPr>
        <w:t>Der Zweck des OCDS ist es, die von der OCP gewünschte Transparenz entlang des gesamten Vergabeprozess bis hin zur Überprüfung der Implementierung zu ermöglichen und maschinenlesbar und vergleichbar zu machen.</w:t>
      </w:r>
      <w:r w:rsidRPr="00F90BD0">
        <w:rPr>
          <w:rFonts w:eastAsia="Times New Roman"/>
          <w:color w:val="auto"/>
          <w:lang w:eastAsia="ar-SA"/>
        </w:rPr>
        <w:t xml:space="preserve"> Der OCDS setzt sowohl auf technischer, als auch auf inhaltlicher Ebene an: Zum einen bietet er technisch die Möglichkeit, Daten in einem einheitlichen und öffentlich zugänglichen Format einzugeben. Die interessierte Bevölkerung kann die Daten somit weiterverwenden. Außerdem kann mit einem etablierten „Standard“ eine Vergleichbarkeit verschiedener Verträge sowohl auf lokaler als auch auf internat</w:t>
      </w:r>
      <w:r w:rsidR="00194168">
        <w:rPr>
          <w:rFonts w:eastAsia="Times New Roman"/>
          <w:color w:val="auto"/>
          <w:lang w:eastAsia="ar-SA"/>
        </w:rPr>
        <w:t xml:space="preserve">ionaler Ebene erzielt werden.   </w:t>
      </w:r>
      <w:r w:rsidRPr="00F90BD0">
        <w:rPr>
          <w:rFonts w:eastAsia="Times New Roman"/>
          <w:color w:val="auto"/>
          <w:lang w:eastAsia="ar-SA"/>
        </w:rPr>
        <w:t xml:space="preserve">Die Bundesregierung eines der Gründungsmitglieder der OCP. Zudem wurde die Wichtigkeit von Open </w:t>
      </w:r>
      <w:proofErr w:type="spellStart"/>
      <w:r w:rsidRPr="00F90BD0">
        <w:rPr>
          <w:rFonts w:eastAsia="Times New Roman"/>
          <w:color w:val="auto"/>
          <w:lang w:eastAsia="ar-SA"/>
        </w:rPr>
        <w:t>Contracting</w:t>
      </w:r>
      <w:proofErr w:type="spellEnd"/>
      <w:r w:rsidRPr="00F90BD0">
        <w:rPr>
          <w:rFonts w:eastAsia="Times New Roman"/>
          <w:color w:val="auto"/>
          <w:lang w:eastAsia="ar-SA"/>
        </w:rPr>
        <w:t xml:space="preserve"> in der </w:t>
      </w:r>
      <w:proofErr w:type="spellStart"/>
      <w:r w:rsidRPr="00F90BD0">
        <w:rPr>
          <w:rFonts w:eastAsia="Times New Roman"/>
          <w:color w:val="auto"/>
          <w:lang w:eastAsia="ar-SA"/>
        </w:rPr>
        <w:t>Lough</w:t>
      </w:r>
      <w:proofErr w:type="spellEnd"/>
      <w:r w:rsidRPr="00F90BD0">
        <w:rPr>
          <w:rFonts w:eastAsia="Times New Roman"/>
          <w:color w:val="auto"/>
          <w:lang w:eastAsia="ar-SA"/>
        </w:rPr>
        <w:t xml:space="preserve"> Erne </w:t>
      </w:r>
      <w:proofErr w:type="spellStart"/>
      <w:r w:rsidRPr="00F90BD0">
        <w:rPr>
          <w:rFonts w:eastAsia="Times New Roman"/>
          <w:color w:val="auto"/>
          <w:lang w:eastAsia="ar-SA"/>
        </w:rPr>
        <w:t>Declaration</w:t>
      </w:r>
      <w:proofErr w:type="spellEnd"/>
      <w:r w:rsidRPr="00F90BD0">
        <w:rPr>
          <w:rFonts w:eastAsia="Times New Roman"/>
          <w:color w:val="auto"/>
          <w:lang w:eastAsia="ar-SA"/>
        </w:rPr>
        <w:t xml:space="preserve"> der G8 betont.</w:t>
      </w:r>
      <w:r w:rsidRPr="00F90BD0">
        <w:rPr>
          <w:rFonts w:eastAsia="Times New Roman"/>
          <w:color w:val="auto"/>
          <w:vertAlign w:val="superscript"/>
          <w:lang w:eastAsia="ar-SA"/>
        </w:rPr>
        <w:footnoteReference w:id="3"/>
      </w:r>
      <w:r w:rsidRPr="00F90BD0">
        <w:rPr>
          <w:rFonts w:eastAsia="Times New Roman"/>
          <w:color w:val="auto"/>
          <w:lang w:eastAsia="ar-SA"/>
        </w:rPr>
        <w:t xml:space="preserve">  Somit hat die Bundesregierung Anteil an der gesamten OCP und deren Mechanismen. Da es sich bei der OCP noch um eine sehr neue Initiative handelt, liegt der Schwerpunkt auf der Verbreitung und Verankerung von Open </w:t>
      </w:r>
      <w:proofErr w:type="spellStart"/>
      <w:r w:rsidRPr="00F90BD0">
        <w:rPr>
          <w:rFonts w:eastAsia="Times New Roman"/>
          <w:color w:val="auto"/>
          <w:lang w:eastAsia="ar-SA"/>
        </w:rPr>
        <w:t>Contracting</w:t>
      </w:r>
      <w:proofErr w:type="spellEnd"/>
      <w:r w:rsidRPr="00F90BD0">
        <w:rPr>
          <w:rFonts w:eastAsia="Times New Roman"/>
          <w:color w:val="auto"/>
          <w:lang w:eastAsia="ar-SA"/>
        </w:rPr>
        <w:t xml:space="preserve"> als Norm auf internationaler und nationaler Ebene. </w:t>
      </w:r>
    </w:p>
    <w:p w:rsidR="00F90BD0" w:rsidRPr="00F90BD0" w:rsidRDefault="00F90BD0" w:rsidP="00F90BD0">
      <w:pPr>
        <w:keepNext/>
        <w:keepLines/>
        <w:suppressAutoHyphens/>
        <w:spacing w:after="120" w:line="360" w:lineRule="auto"/>
        <w:ind w:left="576" w:hanging="576"/>
        <w:rPr>
          <w:rFonts w:eastAsia="Times New Roman"/>
          <w:color w:val="auto"/>
          <w:lang w:eastAsia="ar-SA"/>
        </w:rPr>
      </w:pPr>
      <w:r w:rsidRPr="00F90BD0">
        <w:rPr>
          <w:rFonts w:eastAsia="Times New Roman"/>
          <w:b/>
          <w:bCs/>
          <w:color w:val="auto"/>
          <w:lang w:eastAsia="ar-SA"/>
        </w:rPr>
        <w:lastRenderedPageBreak/>
        <w:t xml:space="preserve">I.3. Open </w:t>
      </w:r>
      <w:proofErr w:type="spellStart"/>
      <w:r w:rsidRPr="00F90BD0">
        <w:rPr>
          <w:rFonts w:eastAsia="Times New Roman"/>
          <w:b/>
          <w:bCs/>
          <w:color w:val="auto"/>
          <w:lang w:eastAsia="ar-SA"/>
        </w:rPr>
        <w:t>Government</w:t>
      </w:r>
      <w:proofErr w:type="spellEnd"/>
      <w:r w:rsidRPr="00F90BD0">
        <w:rPr>
          <w:rFonts w:eastAsia="Times New Roman"/>
          <w:b/>
          <w:bCs/>
          <w:color w:val="auto"/>
          <w:lang w:eastAsia="ar-SA"/>
        </w:rPr>
        <w:t xml:space="preserve"> </w:t>
      </w:r>
      <w:proofErr w:type="spellStart"/>
      <w:r w:rsidRPr="00F90BD0">
        <w:rPr>
          <w:rFonts w:eastAsia="Times New Roman"/>
          <w:b/>
          <w:bCs/>
          <w:color w:val="auto"/>
          <w:lang w:eastAsia="ar-SA"/>
        </w:rPr>
        <w:t>Partnership</w:t>
      </w:r>
      <w:proofErr w:type="spellEnd"/>
    </w:p>
    <w:p w:rsidR="00F90BD0" w:rsidRPr="00F90BD0" w:rsidRDefault="00F90BD0" w:rsidP="00F90BD0">
      <w:pPr>
        <w:suppressAutoHyphens/>
        <w:spacing w:after="120" w:line="360" w:lineRule="auto"/>
        <w:jc w:val="both"/>
        <w:rPr>
          <w:rFonts w:eastAsia="Times New Roman"/>
          <w:color w:val="auto"/>
          <w:lang w:eastAsia="ar-SA"/>
        </w:rPr>
      </w:pPr>
      <w:r w:rsidRPr="00F90BD0">
        <w:rPr>
          <w:rFonts w:eastAsia="Times New Roman"/>
          <w:color w:val="auto"/>
          <w:lang w:eastAsia="ar-SA"/>
        </w:rPr>
        <w:t xml:space="preserve">Die Open </w:t>
      </w:r>
      <w:proofErr w:type="spellStart"/>
      <w:r w:rsidRPr="00F90BD0">
        <w:rPr>
          <w:rFonts w:eastAsia="Times New Roman"/>
          <w:color w:val="auto"/>
          <w:lang w:eastAsia="ar-SA"/>
        </w:rPr>
        <w:t>Government</w:t>
      </w:r>
      <w:proofErr w:type="spellEnd"/>
      <w:r w:rsidRPr="00F90BD0">
        <w:rPr>
          <w:rFonts w:eastAsia="Times New Roman"/>
          <w:color w:val="auto"/>
          <w:lang w:eastAsia="ar-SA"/>
        </w:rPr>
        <w:t xml:space="preserve"> </w:t>
      </w:r>
      <w:proofErr w:type="spellStart"/>
      <w:r w:rsidRPr="00F90BD0">
        <w:rPr>
          <w:rFonts w:eastAsia="Times New Roman"/>
          <w:color w:val="auto"/>
          <w:lang w:eastAsia="ar-SA"/>
        </w:rPr>
        <w:t>Partnership</w:t>
      </w:r>
      <w:proofErr w:type="spellEnd"/>
      <w:r w:rsidRPr="00F90BD0">
        <w:rPr>
          <w:rFonts w:eastAsia="Times New Roman"/>
          <w:color w:val="auto"/>
          <w:lang w:eastAsia="ar-SA"/>
        </w:rPr>
        <w:t xml:space="preserve"> (OGP) wurde 2011 formell mit 8 Mitgliedsstaaten (aktuelle sind es 65) gegründet. Ziel ist eine größere Transparenz, Rechenschaftspflicht und Entgegenkommen gegenüber dem Bürger. Für eine Mitgliedschaft muss ein Staat: </w:t>
      </w:r>
    </w:p>
    <w:p w:rsidR="00F90BD0" w:rsidRPr="00F90BD0" w:rsidRDefault="00F90BD0" w:rsidP="00F90BD0">
      <w:pPr>
        <w:numPr>
          <w:ilvl w:val="0"/>
          <w:numId w:val="10"/>
        </w:numPr>
        <w:tabs>
          <w:tab w:val="num" w:pos="720"/>
        </w:tabs>
        <w:suppressAutoHyphens/>
        <w:spacing w:after="120" w:line="360" w:lineRule="auto"/>
        <w:jc w:val="both"/>
        <w:rPr>
          <w:rFonts w:eastAsia="Times New Roman"/>
          <w:color w:val="auto"/>
          <w:lang w:eastAsia="ar-SA"/>
        </w:rPr>
      </w:pPr>
      <w:r w:rsidRPr="00F90BD0">
        <w:rPr>
          <w:rFonts w:eastAsia="Times New Roman"/>
          <w:color w:val="auto"/>
          <w:lang w:eastAsia="ar-SA"/>
        </w:rPr>
        <w:t xml:space="preserve">ein Ranking von 75% der insgesamt möglichen Punkte in den 4 Kernbereichen der Open </w:t>
      </w:r>
      <w:proofErr w:type="spellStart"/>
      <w:r w:rsidRPr="00F90BD0">
        <w:rPr>
          <w:rFonts w:eastAsia="Times New Roman"/>
          <w:color w:val="auto"/>
          <w:lang w:eastAsia="ar-SA"/>
        </w:rPr>
        <w:t>Government</w:t>
      </w:r>
      <w:proofErr w:type="spellEnd"/>
      <w:r w:rsidRPr="00F90BD0">
        <w:rPr>
          <w:rFonts w:eastAsia="Times New Roman"/>
          <w:color w:val="auto"/>
          <w:lang w:eastAsia="ar-SA"/>
        </w:rPr>
        <w:t xml:space="preserve"> Prinzipien (</w:t>
      </w:r>
      <w:proofErr w:type="spellStart"/>
      <w:r w:rsidRPr="00F90BD0">
        <w:rPr>
          <w:rFonts w:eastAsia="Times New Roman"/>
          <w:color w:val="auto"/>
          <w:lang w:eastAsia="ar-SA"/>
        </w:rPr>
        <w:t>fiscal</w:t>
      </w:r>
      <w:proofErr w:type="spellEnd"/>
      <w:r w:rsidRPr="00F90BD0">
        <w:rPr>
          <w:rFonts w:eastAsia="Times New Roman"/>
          <w:color w:val="auto"/>
          <w:lang w:eastAsia="ar-SA"/>
        </w:rPr>
        <w:t xml:space="preserve"> </w:t>
      </w:r>
      <w:proofErr w:type="spellStart"/>
      <w:r w:rsidRPr="00F90BD0">
        <w:rPr>
          <w:rFonts w:eastAsia="Times New Roman"/>
          <w:color w:val="auto"/>
          <w:lang w:eastAsia="ar-SA"/>
        </w:rPr>
        <w:t>transparency</w:t>
      </w:r>
      <w:proofErr w:type="spellEnd"/>
      <w:r w:rsidRPr="00F90BD0">
        <w:rPr>
          <w:rFonts w:eastAsia="Times New Roman"/>
          <w:color w:val="auto"/>
          <w:lang w:eastAsia="ar-SA"/>
        </w:rPr>
        <w:t xml:space="preserve">, </w:t>
      </w:r>
      <w:proofErr w:type="spellStart"/>
      <w:r w:rsidRPr="00F90BD0">
        <w:rPr>
          <w:rFonts w:eastAsia="Times New Roman"/>
          <w:color w:val="auto"/>
          <w:lang w:eastAsia="ar-SA"/>
        </w:rPr>
        <w:t>access</w:t>
      </w:r>
      <w:proofErr w:type="spellEnd"/>
      <w:r w:rsidRPr="00F90BD0">
        <w:rPr>
          <w:rFonts w:eastAsia="Times New Roman"/>
          <w:color w:val="auto"/>
          <w:lang w:eastAsia="ar-SA"/>
        </w:rPr>
        <w:t xml:space="preserve"> </w:t>
      </w:r>
      <w:proofErr w:type="spellStart"/>
      <w:r w:rsidRPr="00F90BD0">
        <w:rPr>
          <w:rFonts w:eastAsia="Times New Roman"/>
          <w:color w:val="auto"/>
          <w:lang w:eastAsia="ar-SA"/>
        </w:rPr>
        <w:t>to</w:t>
      </w:r>
      <w:proofErr w:type="spellEnd"/>
      <w:r w:rsidRPr="00F90BD0">
        <w:rPr>
          <w:rFonts w:eastAsia="Times New Roman"/>
          <w:color w:val="auto"/>
          <w:lang w:eastAsia="ar-SA"/>
        </w:rPr>
        <w:t xml:space="preserve"> </w:t>
      </w:r>
      <w:proofErr w:type="spellStart"/>
      <w:r w:rsidRPr="00F90BD0">
        <w:rPr>
          <w:rFonts w:eastAsia="Times New Roman"/>
          <w:color w:val="auto"/>
          <w:lang w:eastAsia="ar-SA"/>
        </w:rPr>
        <w:t>information</w:t>
      </w:r>
      <w:proofErr w:type="spellEnd"/>
      <w:r w:rsidRPr="00F90BD0">
        <w:rPr>
          <w:rFonts w:eastAsia="Times New Roman"/>
          <w:color w:val="auto"/>
          <w:lang w:eastAsia="ar-SA"/>
        </w:rPr>
        <w:t xml:space="preserve">, </w:t>
      </w:r>
      <w:proofErr w:type="spellStart"/>
      <w:r w:rsidRPr="00F90BD0">
        <w:rPr>
          <w:rFonts w:eastAsia="Times New Roman"/>
          <w:color w:val="auto"/>
          <w:lang w:eastAsia="ar-SA"/>
        </w:rPr>
        <w:t>income</w:t>
      </w:r>
      <w:proofErr w:type="spellEnd"/>
      <w:r w:rsidRPr="00F90BD0">
        <w:rPr>
          <w:rFonts w:eastAsia="Times New Roman"/>
          <w:color w:val="auto"/>
          <w:lang w:eastAsia="ar-SA"/>
        </w:rPr>
        <w:t xml:space="preserve"> </w:t>
      </w:r>
      <w:proofErr w:type="spellStart"/>
      <w:r w:rsidRPr="00F90BD0">
        <w:rPr>
          <w:rFonts w:eastAsia="Times New Roman"/>
          <w:color w:val="auto"/>
          <w:lang w:eastAsia="ar-SA"/>
        </w:rPr>
        <w:t>and</w:t>
      </w:r>
      <w:proofErr w:type="spellEnd"/>
      <w:r w:rsidRPr="00F90BD0">
        <w:rPr>
          <w:rFonts w:eastAsia="Times New Roman"/>
          <w:color w:val="auto"/>
          <w:lang w:eastAsia="ar-SA"/>
        </w:rPr>
        <w:t xml:space="preserve"> </w:t>
      </w:r>
      <w:proofErr w:type="spellStart"/>
      <w:r w:rsidRPr="00F90BD0">
        <w:rPr>
          <w:rFonts w:eastAsia="Times New Roman"/>
          <w:color w:val="auto"/>
          <w:lang w:eastAsia="ar-SA"/>
        </w:rPr>
        <w:t>asset</w:t>
      </w:r>
      <w:proofErr w:type="spellEnd"/>
      <w:r w:rsidRPr="00F90BD0">
        <w:rPr>
          <w:rFonts w:eastAsia="Times New Roman"/>
          <w:color w:val="auto"/>
          <w:lang w:eastAsia="ar-SA"/>
        </w:rPr>
        <w:t xml:space="preserve"> </w:t>
      </w:r>
      <w:proofErr w:type="spellStart"/>
      <w:r w:rsidRPr="00F90BD0">
        <w:rPr>
          <w:rFonts w:eastAsia="Times New Roman"/>
          <w:color w:val="auto"/>
          <w:lang w:eastAsia="ar-SA"/>
        </w:rPr>
        <w:t>disclosures</w:t>
      </w:r>
      <w:proofErr w:type="spellEnd"/>
      <w:r w:rsidRPr="00F90BD0">
        <w:rPr>
          <w:rFonts w:eastAsia="Times New Roman"/>
          <w:color w:val="auto"/>
          <w:lang w:eastAsia="ar-SA"/>
        </w:rPr>
        <w:t xml:space="preserve">, </w:t>
      </w:r>
      <w:proofErr w:type="spellStart"/>
      <w:r w:rsidRPr="00F90BD0">
        <w:rPr>
          <w:rFonts w:eastAsia="Times New Roman"/>
          <w:color w:val="auto"/>
          <w:lang w:eastAsia="ar-SA"/>
        </w:rPr>
        <w:t>citizen</w:t>
      </w:r>
      <w:proofErr w:type="spellEnd"/>
      <w:r w:rsidRPr="00F90BD0">
        <w:rPr>
          <w:rFonts w:eastAsia="Times New Roman"/>
          <w:color w:val="auto"/>
          <w:lang w:eastAsia="ar-SA"/>
        </w:rPr>
        <w:t xml:space="preserve"> </w:t>
      </w:r>
      <w:proofErr w:type="spellStart"/>
      <w:r w:rsidRPr="00F90BD0">
        <w:rPr>
          <w:rFonts w:eastAsia="Times New Roman"/>
          <w:color w:val="auto"/>
          <w:lang w:eastAsia="ar-SA"/>
        </w:rPr>
        <w:t>engagement</w:t>
      </w:r>
      <w:proofErr w:type="spellEnd"/>
      <w:r w:rsidRPr="00F90BD0">
        <w:rPr>
          <w:rFonts w:eastAsia="Times New Roman"/>
          <w:color w:val="auto"/>
          <w:lang w:eastAsia="ar-SA"/>
        </w:rPr>
        <w:t>) erreichen;</w:t>
      </w:r>
    </w:p>
    <w:p w:rsidR="00F90BD0" w:rsidRPr="00F90BD0" w:rsidRDefault="00F90BD0" w:rsidP="00F90BD0">
      <w:pPr>
        <w:numPr>
          <w:ilvl w:val="0"/>
          <w:numId w:val="10"/>
        </w:numPr>
        <w:tabs>
          <w:tab w:val="num" w:pos="720"/>
        </w:tabs>
        <w:suppressAutoHyphens/>
        <w:spacing w:after="120" w:line="360" w:lineRule="auto"/>
        <w:jc w:val="both"/>
        <w:rPr>
          <w:rFonts w:eastAsia="Times New Roman"/>
          <w:color w:val="auto"/>
          <w:lang w:eastAsia="ar-SA"/>
        </w:rPr>
      </w:pPr>
      <w:r w:rsidRPr="00F90BD0">
        <w:rPr>
          <w:rFonts w:eastAsia="Times New Roman"/>
          <w:color w:val="auto"/>
          <w:lang w:eastAsia="ar-SA"/>
        </w:rPr>
        <w:t xml:space="preserve">Sich diesen Prinzipien offiziell verpflichten; </w:t>
      </w:r>
    </w:p>
    <w:p w:rsidR="00F90BD0" w:rsidRPr="00F90BD0" w:rsidRDefault="00F90BD0" w:rsidP="00F90BD0">
      <w:pPr>
        <w:numPr>
          <w:ilvl w:val="0"/>
          <w:numId w:val="10"/>
        </w:numPr>
        <w:tabs>
          <w:tab w:val="num" w:pos="720"/>
        </w:tabs>
        <w:suppressAutoHyphens/>
        <w:spacing w:after="120" w:line="360" w:lineRule="auto"/>
        <w:jc w:val="both"/>
        <w:rPr>
          <w:rFonts w:eastAsia="Times New Roman"/>
          <w:color w:val="auto"/>
          <w:lang w:eastAsia="ar-SA"/>
        </w:rPr>
      </w:pPr>
      <w:r w:rsidRPr="00F90BD0">
        <w:rPr>
          <w:rFonts w:eastAsia="Times New Roman"/>
          <w:color w:val="auto"/>
          <w:lang w:eastAsia="ar-SA"/>
        </w:rPr>
        <w:t>Mit der Erarbeitung eines Aktionsplans beginnen.</w:t>
      </w:r>
      <w:r w:rsidRPr="00F90BD0">
        <w:rPr>
          <w:rFonts w:eastAsia="Times New Roman"/>
          <w:color w:val="auto"/>
          <w:vertAlign w:val="superscript"/>
          <w:lang w:eastAsia="ar-SA"/>
        </w:rPr>
        <w:footnoteReference w:id="4"/>
      </w:r>
      <w:r w:rsidRPr="00F90BD0">
        <w:rPr>
          <w:rFonts w:eastAsia="Times New Roman"/>
          <w:color w:val="auto"/>
          <w:lang w:eastAsia="ar-SA"/>
        </w:rPr>
        <w:t xml:space="preserve"> Die Erarbeitung des Aktionsplans und seine spätere Implementierung </w:t>
      </w:r>
      <w:proofErr w:type="gramStart"/>
      <w:r w:rsidRPr="00F90BD0">
        <w:rPr>
          <w:rFonts w:eastAsia="Times New Roman"/>
          <w:color w:val="auto"/>
          <w:lang w:eastAsia="ar-SA"/>
        </w:rPr>
        <w:t>muss</w:t>
      </w:r>
      <w:proofErr w:type="gramEnd"/>
      <w:r w:rsidRPr="00F90BD0">
        <w:rPr>
          <w:rFonts w:eastAsia="Times New Roman"/>
          <w:color w:val="auto"/>
          <w:lang w:eastAsia="ar-SA"/>
        </w:rPr>
        <w:t xml:space="preserve"> in Verbindung mit der Zivilgesellschaft erfolgen und wird international durch ein </w:t>
      </w:r>
      <w:proofErr w:type="spellStart"/>
      <w:r w:rsidRPr="00F90BD0">
        <w:rPr>
          <w:rFonts w:eastAsia="Times New Roman"/>
          <w:color w:val="auto"/>
          <w:lang w:eastAsia="ar-SA"/>
        </w:rPr>
        <w:t>Steuerungskommittee</w:t>
      </w:r>
      <w:proofErr w:type="spellEnd"/>
      <w:r w:rsidRPr="00F90BD0">
        <w:rPr>
          <w:rFonts w:eastAsia="Times New Roman"/>
          <w:color w:val="auto"/>
          <w:lang w:eastAsia="ar-SA"/>
        </w:rPr>
        <w:t>, das zum gleichen Teil aus Vertretern der Zivilgesellschaft und Regierungen besteht, überwacht.</w:t>
      </w:r>
      <w:r w:rsidRPr="00F90BD0">
        <w:rPr>
          <w:rFonts w:eastAsia="Times New Roman"/>
          <w:color w:val="auto"/>
          <w:vertAlign w:val="superscript"/>
          <w:lang w:eastAsia="ar-SA"/>
        </w:rPr>
        <w:footnoteReference w:id="5"/>
      </w:r>
      <w:r w:rsidRPr="00F90BD0">
        <w:rPr>
          <w:rFonts w:eastAsia="Times New Roman"/>
          <w:color w:val="auto"/>
          <w:lang w:eastAsia="ar-SA"/>
        </w:rPr>
        <w:t xml:space="preserve"> Die nationalen Aktivitäten werden durch einen unabhängigen Mechanismus (Independent Reporting </w:t>
      </w:r>
      <w:proofErr w:type="spellStart"/>
      <w:r w:rsidRPr="00F90BD0">
        <w:rPr>
          <w:rFonts w:eastAsia="Times New Roman"/>
          <w:color w:val="auto"/>
          <w:lang w:eastAsia="ar-SA"/>
        </w:rPr>
        <w:t>Mechanism</w:t>
      </w:r>
      <w:proofErr w:type="spellEnd"/>
      <w:r w:rsidRPr="00F90BD0">
        <w:rPr>
          <w:rFonts w:eastAsia="Times New Roman"/>
          <w:color w:val="auto"/>
          <w:lang w:eastAsia="ar-SA"/>
        </w:rPr>
        <w:t>) bewertet und die Ergebnisse veröffentlicht.</w:t>
      </w:r>
      <w:r w:rsidRPr="00F90BD0">
        <w:rPr>
          <w:rFonts w:eastAsia="Times New Roman"/>
          <w:color w:val="auto"/>
          <w:vertAlign w:val="superscript"/>
          <w:lang w:eastAsia="ar-SA"/>
        </w:rPr>
        <w:footnoteReference w:id="6"/>
      </w:r>
    </w:p>
    <w:p w:rsidR="00B34348" w:rsidRDefault="00F90BD0" w:rsidP="00B34348">
      <w:pPr>
        <w:suppressAutoHyphens/>
        <w:spacing w:after="120" w:line="360" w:lineRule="auto"/>
        <w:jc w:val="both"/>
        <w:rPr>
          <w:rFonts w:eastAsia="Times New Roman"/>
          <w:b/>
          <w:bCs/>
          <w:color w:val="auto"/>
          <w:lang w:eastAsia="ar-SA"/>
        </w:rPr>
      </w:pPr>
      <w:r w:rsidRPr="00F90BD0">
        <w:rPr>
          <w:rFonts w:eastAsia="Times New Roman"/>
          <w:color w:val="auto"/>
          <w:lang w:eastAsia="ar-SA"/>
        </w:rPr>
        <w:t>Die Bundesrepublik Deutschland ist noch kein Mitglied der OGP, obwohl die Mindestanforderungen für einen Beitritt erfüllt sind.</w:t>
      </w:r>
      <w:r w:rsidRPr="00F90BD0">
        <w:rPr>
          <w:rFonts w:eastAsia="Times New Roman"/>
          <w:color w:val="auto"/>
          <w:vertAlign w:val="superscript"/>
          <w:lang w:eastAsia="ar-SA"/>
        </w:rPr>
        <w:footnoteReference w:id="7"/>
      </w:r>
      <w:r w:rsidRPr="00F90BD0">
        <w:rPr>
          <w:rFonts w:eastAsia="Times New Roman"/>
          <w:color w:val="auto"/>
          <w:lang w:eastAsia="ar-SA"/>
        </w:rPr>
        <w:t xml:space="preserve"> Im Koalitionsvertrag der aktuellen</w:t>
      </w:r>
      <w:r w:rsidR="00194168">
        <w:rPr>
          <w:rFonts w:eastAsia="Times New Roman"/>
          <w:color w:val="auto"/>
          <w:lang w:eastAsia="ar-SA"/>
        </w:rPr>
        <w:t xml:space="preserve"> </w:t>
      </w:r>
      <w:r w:rsidRPr="00F90BD0">
        <w:rPr>
          <w:rFonts w:eastAsia="Times New Roman"/>
          <w:color w:val="auto"/>
          <w:lang w:eastAsia="ar-SA"/>
        </w:rPr>
        <w:t>Bundesregierung wurde der Beitritt (im Zusammenhang mit Open Data Projekten) jedoch angekündigt.</w:t>
      </w:r>
      <w:r w:rsidRPr="00F90BD0">
        <w:rPr>
          <w:rFonts w:eastAsia="Times New Roman"/>
          <w:color w:val="auto"/>
          <w:vertAlign w:val="superscript"/>
          <w:lang w:eastAsia="ar-SA"/>
        </w:rPr>
        <w:footnoteReference w:id="8"/>
      </w:r>
      <w:r w:rsidRPr="00F90BD0">
        <w:rPr>
          <w:rFonts w:eastAsia="Times New Roman"/>
          <w:color w:val="auto"/>
          <w:lang w:eastAsia="ar-SA"/>
        </w:rPr>
        <w:t xml:space="preserve"> Im April 2016 erklärte das BMI öffentlich den Beitritt vorzubereiten. </w:t>
      </w:r>
    </w:p>
    <w:p w:rsidR="00B34348" w:rsidRDefault="00F90BD0" w:rsidP="00F90BD0">
      <w:pPr>
        <w:suppressAutoHyphens/>
        <w:spacing w:after="120" w:line="360" w:lineRule="auto"/>
        <w:jc w:val="both"/>
        <w:rPr>
          <w:rFonts w:eastAsia="Times New Roman"/>
          <w:b/>
          <w:bCs/>
          <w:color w:val="auto"/>
          <w:lang w:eastAsia="ar-SA"/>
        </w:rPr>
      </w:pPr>
      <w:r w:rsidRPr="00F90BD0">
        <w:rPr>
          <w:rFonts w:eastAsia="Times New Roman"/>
          <w:b/>
          <w:bCs/>
          <w:color w:val="auto"/>
          <w:lang w:eastAsia="ar-SA"/>
        </w:rPr>
        <w:t xml:space="preserve">I.4. </w:t>
      </w:r>
      <w:proofErr w:type="spellStart"/>
      <w:r w:rsidRPr="00F90BD0">
        <w:rPr>
          <w:rFonts w:eastAsia="Times New Roman"/>
          <w:b/>
          <w:bCs/>
          <w:color w:val="auto"/>
          <w:lang w:eastAsia="ar-SA"/>
        </w:rPr>
        <w:t>Connex</w:t>
      </w:r>
      <w:proofErr w:type="spellEnd"/>
    </w:p>
    <w:p w:rsidR="00F90BD0" w:rsidRPr="00F90BD0" w:rsidRDefault="00F90BD0" w:rsidP="00F90BD0">
      <w:pPr>
        <w:suppressAutoHyphens/>
        <w:spacing w:after="120" w:line="360" w:lineRule="auto"/>
        <w:jc w:val="both"/>
        <w:rPr>
          <w:rFonts w:eastAsia="Times New Roman"/>
          <w:b/>
          <w:bCs/>
          <w:color w:val="auto"/>
          <w:lang w:eastAsia="ar-SA"/>
        </w:rPr>
      </w:pPr>
      <w:r w:rsidRPr="00F90BD0">
        <w:rPr>
          <w:rFonts w:eastAsia="Times New Roman"/>
          <w:color w:val="auto"/>
          <w:lang w:eastAsia="ar-SA"/>
        </w:rPr>
        <w:t xml:space="preserve">Die 2014 gestartete </w:t>
      </w:r>
      <w:proofErr w:type="spellStart"/>
      <w:r w:rsidRPr="00F90BD0">
        <w:rPr>
          <w:rFonts w:eastAsia="Times New Roman"/>
          <w:color w:val="auto"/>
          <w:lang w:eastAsia="ar-SA"/>
        </w:rPr>
        <w:t>Connex</w:t>
      </w:r>
      <w:proofErr w:type="spellEnd"/>
      <w:r w:rsidRPr="00F90BD0">
        <w:rPr>
          <w:rFonts w:eastAsia="Times New Roman"/>
          <w:color w:val="auto"/>
          <w:lang w:eastAsia="ar-SA"/>
        </w:rPr>
        <w:t xml:space="preserve">-Initiative der G7 zielt darauf ab, rohstoffreiche Länder bei komplexen Vertragsverhandlungen mit Rohstoffunternehmen zu unterstützen (z.B. durch das </w:t>
      </w:r>
      <w:hyperlink r:id="rId9" w:history="1">
        <w:r w:rsidRPr="00F90BD0">
          <w:rPr>
            <w:rFonts w:eastAsia="Times New Roman"/>
            <w:color w:val="0000FF"/>
            <w:u w:val="single"/>
          </w:rPr>
          <w:t>Negotiation Support Portal</w:t>
        </w:r>
      </w:hyperlink>
      <w:r w:rsidRPr="00F90BD0">
        <w:rPr>
          <w:rFonts w:eastAsia="Times New Roman"/>
          <w:color w:val="auto"/>
          <w:lang w:eastAsia="ar-SA"/>
        </w:rPr>
        <w:t xml:space="preserve">). Die geschieht durch Beratungen auf juristischer, geologischer, </w:t>
      </w:r>
      <w:r w:rsidRPr="00F90BD0">
        <w:rPr>
          <w:rFonts w:eastAsia="Times New Roman"/>
          <w:color w:val="auto"/>
          <w:lang w:eastAsia="ar-SA"/>
        </w:rPr>
        <w:lastRenderedPageBreak/>
        <w:t>betriebswirtschaftlicher und technischer Ebene.</w:t>
      </w:r>
      <w:r w:rsidRPr="00F90BD0">
        <w:rPr>
          <w:rFonts w:eastAsia="Times New Roman"/>
          <w:color w:val="auto"/>
          <w:vertAlign w:val="superscript"/>
          <w:lang w:eastAsia="ar-SA"/>
        </w:rPr>
        <w:footnoteReference w:id="9"/>
      </w:r>
      <w:r w:rsidRPr="00F90BD0">
        <w:rPr>
          <w:rFonts w:eastAsia="Times New Roman"/>
          <w:color w:val="auto"/>
          <w:lang w:eastAsia="ar-SA"/>
        </w:rPr>
        <w:t xml:space="preserve"> Somit ist das Thema Vertragstransparenz kein Hauptbestandteil der Initiative. Nichtsdestotrotz kann bei der Unterstützungs- und Beratungstätigkeit dazu angeregt werden, die Offenlegung zum Bestandteil des Vertrags zu machen. Die Bundesregierung hat als Teil der G7 Staaten  einen Anteil an der Initiative. Die </w:t>
      </w:r>
      <w:proofErr w:type="spellStart"/>
      <w:r w:rsidRPr="00F90BD0">
        <w:rPr>
          <w:rFonts w:eastAsia="Times New Roman"/>
          <w:color w:val="auto"/>
          <w:lang w:eastAsia="ar-SA"/>
        </w:rPr>
        <w:t>Connex</w:t>
      </w:r>
      <w:proofErr w:type="spellEnd"/>
      <w:r w:rsidRPr="00F90BD0">
        <w:rPr>
          <w:rFonts w:eastAsia="Times New Roman"/>
          <w:color w:val="auto"/>
          <w:lang w:eastAsia="ar-SA"/>
        </w:rPr>
        <w:t xml:space="preserve"> Initiative führt die Arbeit der vorher bestehenden Globalen Entwicklungspolitischen Rohstoffinitiative (</w:t>
      </w:r>
      <w:hyperlink r:id="rId10" w:history="1">
        <w:r w:rsidRPr="00F90BD0">
          <w:rPr>
            <w:rFonts w:eastAsia="Times New Roman"/>
            <w:color w:val="0000FF"/>
            <w:u w:val="single"/>
          </w:rPr>
          <w:t>GERI</w:t>
        </w:r>
      </w:hyperlink>
      <w:r w:rsidRPr="00F90BD0">
        <w:rPr>
          <w:rFonts w:eastAsia="Times New Roman"/>
          <w:color w:val="auto"/>
          <w:lang w:eastAsia="ar-SA"/>
        </w:rPr>
        <w:t xml:space="preserve">), die durch bilaterale Zusammenarbeit die rohstoffreichen Entwicklungsländer unterstützen sollte, weiter. </w:t>
      </w:r>
    </w:p>
    <w:p w:rsidR="00F90BD0" w:rsidRPr="00F90BD0" w:rsidRDefault="00F90BD0" w:rsidP="00F90BD0">
      <w:pPr>
        <w:keepNext/>
        <w:keepLines/>
        <w:suppressAutoHyphens/>
        <w:spacing w:after="120" w:line="360" w:lineRule="auto"/>
        <w:ind w:left="576" w:hanging="576"/>
        <w:rPr>
          <w:rFonts w:eastAsia="Times New Roman"/>
          <w:color w:val="auto"/>
          <w:lang w:eastAsia="ar-SA"/>
        </w:rPr>
      </w:pPr>
      <w:r w:rsidRPr="00F90BD0">
        <w:rPr>
          <w:rFonts w:eastAsia="Times New Roman"/>
          <w:b/>
          <w:bCs/>
          <w:color w:val="auto"/>
          <w:lang w:eastAsia="ar-SA"/>
        </w:rPr>
        <w:t xml:space="preserve">I.5. </w:t>
      </w:r>
      <w:r w:rsidR="0031369B">
        <w:rPr>
          <w:rFonts w:eastAsia="Times New Roman"/>
          <w:b/>
          <w:bCs/>
          <w:color w:val="auto"/>
          <w:lang w:eastAsia="ar-SA"/>
        </w:rPr>
        <w:t>Gemeinsamkeiten der Initiativen</w:t>
      </w:r>
    </w:p>
    <w:p w:rsidR="00F90BD0" w:rsidRPr="00F90BD0" w:rsidRDefault="00F90BD0" w:rsidP="00F90BD0">
      <w:pPr>
        <w:suppressAutoHyphens/>
        <w:spacing w:after="120" w:line="360" w:lineRule="auto"/>
        <w:jc w:val="both"/>
        <w:rPr>
          <w:rFonts w:eastAsia="Times New Roman"/>
          <w:b/>
          <w:bCs/>
          <w:color w:val="auto"/>
          <w:lang w:eastAsia="ar-SA"/>
        </w:rPr>
      </w:pPr>
      <w:r w:rsidRPr="00F90BD0">
        <w:rPr>
          <w:rFonts w:eastAsia="Times New Roman"/>
          <w:b/>
          <w:color w:val="auto"/>
          <w:lang w:eastAsia="ar-SA"/>
        </w:rPr>
        <w:t>Transparenz ist in jeder Initiative ein wichtiges Mittel</w:t>
      </w:r>
      <w:r w:rsidRPr="00F90BD0">
        <w:rPr>
          <w:rFonts w:eastAsia="Times New Roman"/>
          <w:color w:val="auto"/>
          <w:lang w:eastAsia="ar-SA"/>
        </w:rPr>
        <w:t>, um Unternehmen und die öffentliche Hand zu Verantwortung zu ziehen und die Rechenschaftspflicht und Effizienz zu steigern. Nichtsdestotrotz sollten Transparenzforderungen an die lokalen Kapazitäten und Gegebenheiten angepasst werden und generell eher aus einer „</w:t>
      </w:r>
      <w:proofErr w:type="spellStart"/>
      <w:r w:rsidRPr="00F90BD0">
        <w:rPr>
          <w:rFonts w:eastAsia="Times New Roman"/>
          <w:color w:val="auto"/>
          <w:lang w:eastAsia="ar-SA"/>
        </w:rPr>
        <w:t>bottom</w:t>
      </w:r>
      <w:proofErr w:type="spellEnd"/>
      <w:r w:rsidRPr="00F90BD0">
        <w:rPr>
          <w:rFonts w:eastAsia="Times New Roman"/>
          <w:color w:val="auto"/>
          <w:lang w:eastAsia="ar-SA"/>
        </w:rPr>
        <w:t xml:space="preserve"> </w:t>
      </w:r>
      <w:proofErr w:type="spellStart"/>
      <w:r w:rsidRPr="00F90BD0">
        <w:rPr>
          <w:rFonts w:eastAsia="Times New Roman"/>
          <w:color w:val="auto"/>
          <w:lang w:eastAsia="ar-SA"/>
        </w:rPr>
        <w:t>up</w:t>
      </w:r>
      <w:proofErr w:type="spellEnd"/>
      <w:r w:rsidRPr="00F90BD0">
        <w:rPr>
          <w:rFonts w:eastAsia="Times New Roman"/>
          <w:color w:val="auto"/>
          <w:lang w:eastAsia="ar-SA"/>
        </w:rPr>
        <w:t xml:space="preserve">“-Strategie erfolgen. Zu diesem Zwecke ist es besonders wichtig, die Kapazitäten der lokalen Bevölkerung zu stärken: </w:t>
      </w:r>
      <w:r w:rsidRPr="00F90BD0">
        <w:rPr>
          <w:rFonts w:eastAsia="Times New Roman"/>
          <w:b/>
          <w:color w:val="auto"/>
          <w:lang w:eastAsia="ar-SA"/>
        </w:rPr>
        <w:t xml:space="preserve">Transparenz und Offenlegung ist nur dann sinnvoll, wenn die Bevölkerung die offengelegten Informationen auswerten und nutzen kann, </w:t>
      </w:r>
      <w:r w:rsidRPr="00F90BD0">
        <w:rPr>
          <w:rFonts w:eastAsia="Times New Roman"/>
          <w:color w:val="auto"/>
          <w:lang w:eastAsia="ar-SA"/>
        </w:rPr>
        <w:t xml:space="preserve">um Kritik üben, Forderungen zu stellen und/oder Konsequenzen für zukünftige Verträge ziehen zu können. </w:t>
      </w:r>
    </w:p>
    <w:p w:rsidR="00F90BD0" w:rsidRPr="00F90BD0" w:rsidRDefault="00F90BD0" w:rsidP="00F90BD0">
      <w:pPr>
        <w:keepNext/>
        <w:keepLines/>
        <w:suppressAutoHyphens/>
        <w:spacing w:after="120" w:line="360" w:lineRule="auto"/>
        <w:ind w:left="432" w:hanging="432"/>
        <w:rPr>
          <w:rFonts w:eastAsia="Times New Roman"/>
          <w:color w:val="auto"/>
          <w:lang w:eastAsia="ar-SA"/>
        </w:rPr>
      </w:pPr>
      <w:r w:rsidRPr="00F90BD0">
        <w:rPr>
          <w:rFonts w:eastAsia="Times New Roman"/>
          <w:b/>
          <w:bCs/>
          <w:color w:val="auto"/>
          <w:lang w:eastAsia="ar-SA"/>
        </w:rPr>
        <w:t>I.6. Offenlegung und Transparenz für die EITI-Umsetzung in Deutschland?</w:t>
      </w:r>
    </w:p>
    <w:p w:rsidR="00F90BD0" w:rsidRPr="00F90BD0" w:rsidRDefault="00F90BD0" w:rsidP="00F90BD0">
      <w:pPr>
        <w:suppressAutoHyphens/>
        <w:spacing w:after="120" w:line="360" w:lineRule="auto"/>
        <w:jc w:val="both"/>
        <w:rPr>
          <w:rFonts w:eastAsia="Times New Roman"/>
          <w:color w:val="auto"/>
          <w:lang w:eastAsia="ar-SA"/>
        </w:rPr>
      </w:pPr>
      <w:r w:rsidRPr="00F90BD0">
        <w:rPr>
          <w:rFonts w:eastAsia="Times New Roman"/>
          <w:color w:val="auto"/>
          <w:lang w:eastAsia="ar-SA"/>
        </w:rPr>
        <w:t xml:space="preserve">Bevor auf die Bedeutung von Transparenz und Offenlegung im deutschen EITI-Prozess eingegangen werden kann, muss zuerst der Status Quo zu Verträgen und Lizenzen im extraktiven Sektor und bestehenden Offenlegungspflichten dargestellt werden. </w:t>
      </w:r>
    </w:p>
    <w:p w:rsidR="00F90BD0" w:rsidRPr="00F90BD0" w:rsidRDefault="00F90BD0" w:rsidP="00F90BD0">
      <w:pPr>
        <w:suppressAutoHyphens/>
        <w:spacing w:after="120" w:line="360" w:lineRule="auto"/>
        <w:jc w:val="both"/>
        <w:rPr>
          <w:rFonts w:eastAsia="Times New Roman"/>
          <w:color w:val="auto"/>
          <w:lang w:eastAsia="ar-SA"/>
        </w:rPr>
      </w:pPr>
      <w:r w:rsidRPr="00F90BD0">
        <w:rPr>
          <w:rFonts w:eastAsia="Times New Roman"/>
          <w:color w:val="auto"/>
          <w:lang w:eastAsia="ar-SA"/>
        </w:rPr>
        <w:t>Art. 3 des Bundesberggesetzes (</w:t>
      </w:r>
      <w:proofErr w:type="spellStart"/>
      <w:r w:rsidRPr="00F90BD0">
        <w:rPr>
          <w:rFonts w:eastAsia="Times New Roman"/>
          <w:color w:val="auto"/>
          <w:lang w:eastAsia="ar-SA"/>
        </w:rPr>
        <w:t>BBergG</w:t>
      </w:r>
      <w:proofErr w:type="spellEnd"/>
      <w:r w:rsidRPr="00F90BD0">
        <w:rPr>
          <w:rFonts w:eastAsia="Times New Roman"/>
          <w:color w:val="auto"/>
          <w:lang w:eastAsia="ar-SA"/>
        </w:rPr>
        <w:t>) unterscheidet zwischen bergfreien und grundeigenen Bodenschätzen. Bergfreie Bodenschätze (Salze, Metalle, fossile Brennstoffe) benötigen zur Exploration eine Erlaubnis (Explorationslizenz) und zur Gewinnung (Abbaulizenz) eine Bewilligung oder ein Bergwerkseigentum (Art. 6). Alle diese Berechtigungen (Lizenzen) werden nur auf schriftlichem Antrag bei der zuständigen Behörde verliehen (Art. 10).</w:t>
      </w:r>
    </w:p>
    <w:p w:rsidR="00F90BD0" w:rsidRPr="00F90BD0" w:rsidRDefault="00F90BD0" w:rsidP="00F90BD0">
      <w:pPr>
        <w:suppressAutoHyphens/>
        <w:spacing w:after="120" w:line="360" w:lineRule="auto"/>
        <w:jc w:val="both"/>
        <w:rPr>
          <w:rFonts w:eastAsia="Times New Roman"/>
          <w:color w:val="auto"/>
          <w:lang w:eastAsia="ar-SA"/>
        </w:rPr>
      </w:pPr>
      <w:r w:rsidRPr="00F90BD0">
        <w:rPr>
          <w:rFonts w:eastAsia="Times New Roman"/>
          <w:color w:val="auto"/>
          <w:lang w:eastAsia="ar-SA"/>
        </w:rPr>
        <w:t xml:space="preserve">Die Anforderungen des EITI Standards bzgl. eines </w:t>
      </w:r>
      <w:r w:rsidRPr="00F90BD0">
        <w:rPr>
          <w:rFonts w:eastAsia="Times New Roman"/>
          <w:b/>
          <w:color w:val="auto"/>
          <w:lang w:eastAsia="ar-SA"/>
        </w:rPr>
        <w:t>öffentlich zugänglichen Lizenzregisters</w:t>
      </w:r>
      <w:r w:rsidRPr="00F90BD0">
        <w:rPr>
          <w:rFonts w:eastAsia="Times New Roman"/>
          <w:color w:val="auto"/>
          <w:lang w:eastAsia="ar-SA"/>
        </w:rPr>
        <w:t xml:space="preserve"> stehen in Konflikt mit dem Bundesberggesetz, das die Einsichtnahme in die bei den Bergämtern </w:t>
      </w:r>
      <w:r w:rsidRPr="00F90BD0">
        <w:rPr>
          <w:rFonts w:eastAsia="Times New Roman"/>
          <w:color w:val="auto"/>
          <w:lang w:eastAsia="ar-SA"/>
        </w:rPr>
        <w:lastRenderedPageBreak/>
        <w:t xml:space="preserve">geführten </w:t>
      </w:r>
      <w:proofErr w:type="spellStart"/>
      <w:r w:rsidRPr="00F90BD0">
        <w:rPr>
          <w:rFonts w:eastAsia="Times New Roman"/>
          <w:color w:val="auto"/>
          <w:lang w:eastAsia="ar-SA"/>
        </w:rPr>
        <w:t>Berechtsamsbücher</w:t>
      </w:r>
      <w:proofErr w:type="spellEnd"/>
      <w:r w:rsidRPr="00F90BD0">
        <w:rPr>
          <w:rFonts w:eastAsia="Times New Roman"/>
          <w:color w:val="auto"/>
          <w:lang w:eastAsia="ar-SA"/>
        </w:rPr>
        <w:t xml:space="preserve"> und </w:t>
      </w:r>
      <w:proofErr w:type="spellStart"/>
      <w:r w:rsidRPr="00F90BD0">
        <w:rPr>
          <w:rFonts w:eastAsia="Times New Roman"/>
          <w:color w:val="auto"/>
          <w:lang w:eastAsia="ar-SA"/>
        </w:rPr>
        <w:t>Berechtsamskarten</w:t>
      </w:r>
      <w:proofErr w:type="spellEnd"/>
      <w:r w:rsidRPr="00F90BD0">
        <w:rPr>
          <w:rFonts w:eastAsia="Times New Roman"/>
          <w:color w:val="auto"/>
          <w:lang w:eastAsia="ar-SA"/>
        </w:rPr>
        <w:t xml:space="preserve"> nur aufgrund von berechtigtem Interesse erlaubt.</w:t>
      </w:r>
      <w:r w:rsidR="006B1873">
        <w:rPr>
          <w:rFonts w:eastAsia="Times New Roman"/>
          <w:color w:val="auto"/>
          <w:lang w:eastAsia="ar-SA"/>
        </w:rPr>
        <w:t xml:space="preserve"> </w:t>
      </w:r>
      <w:r w:rsidRPr="00F90BD0">
        <w:rPr>
          <w:rFonts w:eastAsia="Times New Roman"/>
          <w:color w:val="auto"/>
          <w:lang w:eastAsia="ar-SA"/>
        </w:rPr>
        <w:t xml:space="preserve">Abweichend davon führt in Deutschland bisher nur Niedersachsen (beinhaltet auch Informationen zu Schleswig-Holstein, Hamburg und Bremen) ein öffentlich zugängliches Lizenzregister im Sinne des EITI-Standards. Um die Anforderung des Standards zu erfüllen, müsste </w:t>
      </w:r>
      <w:r w:rsidR="006B1873">
        <w:rPr>
          <w:rFonts w:eastAsia="Times New Roman"/>
          <w:color w:val="auto"/>
          <w:lang w:eastAsia="ar-SA"/>
        </w:rPr>
        <w:t xml:space="preserve">der </w:t>
      </w:r>
      <w:proofErr w:type="spellStart"/>
      <w:r w:rsidR="006B1873">
        <w:rPr>
          <w:rFonts w:eastAsia="Times New Roman"/>
          <w:color w:val="auto"/>
          <w:lang w:eastAsia="ar-SA"/>
        </w:rPr>
        <w:t>Scoping</w:t>
      </w:r>
      <w:proofErr w:type="spellEnd"/>
      <w:r w:rsidR="006B1873">
        <w:rPr>
          <w:rFonts w:eastAsia="Times New Roman"/>
          <w:color w:val="auto"/>
          <w:lang w:eastAsia="ar-SA"/>
        </w:rPr>
        <w:t xml:space="preserve"> Studie zu EITI gemäß</w:t>
      </w:r>
      <w:r w:rsidRPr="00F90BD0">
        <w:rPr>
          <w:rFonts w:eastAsia="Times New Roman"/>
          <w:color w:val="auto"/>
          <w:lang w:eastAsia="ar-SA"/>
        </w:rPr>
        <w:t xml:space="preserve"> das </w:t>
      </w:r>
      <w:proofErr w:type="spellStart"/>
      <w:r w:rsidRPr="00F90BD0">
        <w:rPr>
          <w:rFonts w:eastAsia="Times New Roman"/>
          <w:color w:val="auto"/>
          <w:lang w:eastAsia="ar-SA"/>
        </w:rPr>
        <w:t>BBergG</w:t>
      </w:r>
      <w:proofErr w:type="spellEnd"/>
      <w:r w:rsidRPr="00F90BD0">
        <w:rPr>
          <w:rFonts w:eastAsia="Times New Roman"/>
          <w:color w:val="auto"/>
          <w:lang w:eastAsia="ar-SA"/>
        </w:rPr>
        <w:t xml:space="preserve"> §76 Abs. 1 geändert werden, um die Einsichtnahme entsprechend § 10 Abs. 1 HRV jedermann zu gestatten. Eine andere Möglichkeit besteht darin, die Lizenzregister auf Grundlage </w:t>
      </w:r>
      <w:proofErr w:type="spellStart"/>
      <w:r w:rsidRPr="00F90BD0">
        <w:rPr>
          <w:rFonts w:eastAsia="Times New Roman"/>
          <w:color w:val="auto"/>
          <w:lang w:eastAsia="ar-SA"/>
        </w:rPr>
        <w:t>BBerG</w:t>
      </w:r>
      <w:proofErr w:type="spellEnd"/>
      <w:r w:rsidRPr="00F90BD0">
        <w:rPr>
          <w:rFonts w:eastAsia="Times New Roman"/>
          <w:color w:val="auto"/>
          <w:lang w:eastAsia="ar-SA"/>
        </w:rPr>
        <w:t xml:space="preserve"> nach dem Vorbild Niedersachsens umzuge</w:t>
      </w:r>
      <w:r w:rsidR="006B1873">
        <w:rPr>
          <w:rFonts w:eastAsia="Times New Roman"/>
          <w:color w:val="auto"/>
          <w:lang w:eastAsia="ar-SA"/>
        </w:rPr>
        <w:t>stalten. Sollte eine Umsetzung</w:t>
      </w:r>
      <w:r w:rsidRPr="00F90BD0">
        <w:rPr>
          <w:rFonts w:eastAsia="Times New Roman"/>
          <w:color w:val="auto"/>
          <w:lang w:eastAsia="ar-SA"/>
        </w:rPr>
        <w:t xml:space="preserve"> der gewählten Lösung bis zur Veröffentlichung des ersten Berichts nicht möglich sein, muss die MSG im EITI-Bericht die Gründe hierfür erläutern und darlegen, wie und wann ein öffentliches Register zu Verfügung gestellt werden kann. </w:t>
      </w:r>
    </w:p>
    <w:p w:rsidR="00F90BD0" w:rsidRPr="00F90BD0" w:rsidRDefault="00F90BD0" w:rsidP="00F90BD0">
      <w:pPr>
        <w:suppressAutoHyphens/>
        <w:spacing w:after="120" w:line="360" w:lineRule="auto"/>
        <w:jc w:val="both"/>
        <w:rPr>
          <w:rFonts w:eastAsia="Times New Roman"/>
          <w:color w:val="auto"/>
          <w:lang w:eastAsia="ar-SA"/>
        </w:rPr>
      </w:pPr>
      <w:r w:rsidRPr="00F90BD0">
        <w:rPr>
          <w:rFonts w:eastAsia="Times New Roman"/>
          <w:b/>
          <w:color w:val="auto"/>
          <w:lang w:eastAsia="ar-SA"/>
        </w:rPr>
        <w:t>Verträge im engeren Sinne gibt es in Deutschland  im Bereich der Rohstoffförderung nur für die grundeigenen und Grundeigentümerbodenschätze.</w:t>
      </w:r>
      <w:r w:rsidRPr="00F90BD0">
        <w:rPr>
          <w:rFonts w:eastAsia="Times New Roman"/>
          <w:color w:val="auto"/>
          <w:lang w:eastAsia="ar-SA"/>
        </w:rPr>
        <w:t xml:space="preserve"> Bei den Grundeigentümern kann es sich dabei sowohl um Privatpersonen, als auch um staatliche Stellen handeln.</w:t>
      </w:r>
      <w:r w:rsidR="006B1873">
        <w:rPr>
          <w:rFonts w:eastAsia="Times New Roman"/>
          <w:color w:val="auto"/>
          <w:lang w:eastAsia="ar-SA"/>
        </w:rPr>
        <w:t xml:space="preserve"> Zusammenfassend lässt sich folgendes:</w:t>
      </w:r>
    </w:p>
    <w:p w:rsidR="00F90BD0" w:rsidRPr="006B1873" w:rsidRDefault="00F90BD0" w:rsidP="006B1873">
      <w:pPr>
        <w:pStyle w:val="Listenabsatz"/>
        <w:numPr>
          <w:ilvl w:val="0"/>
          <w:numId w:val="13"/>
        </w:numPr>
        <w:suppressAutoHyphens/>
        <w:spacing w:after="120" w:line="360" w:lineRule="auto"/>
        <w:jc w:val="both"/>
        <w:rPr>
          <w:rFonts w:eastAsia="Times New Roman"/>
          <w:color w:val="auto"/>
          <w:lang w:eastAsia="ar-SA"/>
        </w:rPr>
      </w:pPr>
      <w:r w:rsidRPr="006B1873">
        <w:rPr>
          <w:rFonts w:eastAsia="Times New Roman"/>
          <w:color w:val="auto"/>
          <w:lang w:eastAsia="ar-SA"/>
        </w:rPr>
        <w:t xml:space="preserve">Würde sich die MSG der </w:t>
      </w:r>
      <w:r w:rsidRPr="006B1873">
        <w:rPr>
          <w:rFonts w:eastAsia="Times New Roman"/>
          <w:b/>
          <w:color w:val="auto"/>
          <w:lang w:eastAsia="ar-SA"/>
        </w:rPr>
        <w:t>D</w:t>
      </w:r>
      <w:r w:rsidR="006B1873" w:rsidRPr="006B1873">
        <w:rPr>
          <w:rFonts w:eastAsia="Times New Roman"/>
          <w:b/>
          <w:color w:val="auto"/>
          <w:lang w:eastAsia="ar-SA"/>
        </w:rPr>
        <w:t>-</w:t>
      </w:r>
      <w:r w:rsidRPr="006B1873">
        <w:rPr>
          <w:rFonts w:eastAsia="Times New Roman"/>
          <w:b/>
          <w:color w:val="auto"/>
          <w:lang w:eastAsia="ar-SA"/>
        </w:rPr>
        <w:t>EITI entscheiden der Empfehlung des Standards bzgl. der Offenlegung von Verträgen zu folgen</w:t>
      </w:r>
      <w:r w:rsidR="006B1873" w:rsidRPr="006B1873">
        <w:rPr>
          <w:rFonts w:eastAsia="Times New Roman"/>
          <w:b/>
          <w:color w:val="auto"/>
          <w:lang w:eastAsia="ar-SA"/>
        </w:rPr>
        <w:t>,</w:t>
      </w:r>
      <w:r w:rsidRPr="006B1873">
        <w:rPr>
          <w:rFonts w:eastAsia="Times New Roman"/>
          <w:color w:val="auto"/>
          <w:lang w:eastAsia="ar-SA"/>
        </w:rPr>
        <w:t xml:space="preserve"> müssten diese Verträge (Pacht- oder Kaufvertrag) der rohstofffö</w:t>
      </w:r>
      <w:r w:rsidR="006B1873" w:rsidRPr="006B1873">
        <w:rPr>
          <w:rFonts w:eastAsia="Times New Roman"/>
          <w:color w:val="auto"/>
          <w:lang w:eastAsia="ar-SA"/>
        </w:rPr>
        <w:t>rdernden Unternehmen</w:t>
      </w:r>
      <w:r w:rsidRPr="006B1873">
        <w:rPr>
          <w:rFonts w:eastAsia="Times New Roman"/>
          <w:color w:val="auto"/>
          <w:lang w:eastAsia="ar-SA"/>
        </w:rPr>
        <w:t xml:space="preserve"> mit den Grundeigentümern offengelegt werden. Weiter müsste entschieden werden, ob auch Verträge zwischen Unternehmen und Privatpersonen von der Offenlegung betroffen sind, oder ob im Sinne des Zahlungsabgleichs nur die vertraglichen Beziehungen zwischen Unternehmen und dem Staat als Grundeigentümer offengelegt werden. </w:t>
      </w:r>
    </w:p>
    <w:p w:rsidR="006B1873" w:rsidRPr="006B1873" w:rsidRDefault="00F90BD0" w:rsidP="00F90BD0">
      <w:pPr>
        <w:pStyle w:val="Listenabsatz"/>
        <w:numPr>
          <w:ilvl w:val="0"/>
          <w:numId w:val="13"/>
        </w:numPr>
        <w:suppressAutoHyphens/>
        <w:spacing w:after="120" w:line="360" w:lineRule="auto"/>
        <w:jc w:val="both"/>
        <w:rPr>
          <w:rFonts w:eastAsia="Myriad Pro"/>
          <w:lang w:eastAsia="ar-SA"/>
        </w:rPr>
      </w:pPr>
      <w:r w:rsidRPr="006B1873">
        <w:rPr>
          <w:rFonts w:eastAsia="Times New Roman"/>
          <w:color w:val="auto"/>
          <w:lang w:eastAsia="ar-SA"/>
        </w:rPr>
        <w:t xml:space="preserve">Sollte im MSG Prozess der D-EITI beschlossen werden Verträge offen zu legen, müsste </w:t>
      </w:r>
      <w:r w:rsidRPr="006B1873">
        <w:rPr>
          <w:rFonts w:eastAsia="Times New Roman"/>
          <w:b/>
          <w:color w:val="auto"/>
          <w:lang w:eastAsia="ar-SA"/>
        </w:rPr>
        <w:t xml:space="preserve">zudem weiter geprüft werden, ob neben den o.g. Verträgen im engeren Sinne im Bereich der grundeigenen und Grundeigentümerrohstoffe auch weitere Bestandteile des Berechtigungs- und Bewilligungsverfahrens unter </w:t>
      </w:r>
      <w:proofErr w:type="spellStart"/>
      <w:r w:rsidRPr="006B1873">
        <w:rPr>
          <w:rFonts w:eastAsia="Times New Roman"/>
          <w:b/>
          <w:color w:val="auto"/>
          <w:lang w:eastAsia="ar-SA"/>
        </w:rPr>
        <w:t>BBerG</w:t>
      </w:r>
      <w:proofErr w:type="spellEnd"/>
      <w:r w:rsidRPr="006B1873">
        <w:rPr>
          <w:rFonts w:eastAsia="Times New Roman"/>
          <w:b/>
          <w:color w:val="auto"/>
          <w:lang w:eastAsia="ar-SA"/>
        </w:rPr>
        <w:t xml:space="preserve"> als Vertrag </w:t>
      </w:r>
      <w:proofErr w:type="spellStart"/>
      <w:r w:rsidRPr="006B1873">
        <w:rPr>
          <w:rFonts w:eastAsia="Times New Roman"/>
          <w:b/>
          <w:color w:val="auto"/>
          <w:lang w:eastAsia="ar-SA"/>
        </w:rPr>
        <w:t>i.S.d</w:t>
      </w:r>
      <w:proofErr w:type="spellEnd"/>
      <w:r w:rsidRPr="006B1873">
        <w:rPr>
          <w:rFonts w:eastAsia="Times New Roman"/>
          <w:b/>
          <w:color w:val="auto"/>
          <w:lang w:eastAsia="ar-SA"/>
        </w:rPr>
        <w:t>. EITI Standard</w:t>
      </w:r>
      <w:r w:rsidRPr="006B1873">
        <w:rPr>
          <w:rFonts w:eastAsia="Times New Roman"/>
          <w:color w:val="auto"/>
          <w:lang w:eastAsia="ar-SA"/>
        </w:rPr>
        <w:t xml:space="preserve"> zu interpretieren sind. </w:t>
      </w:r>
      <w:r w:rsidRPr="006B1873">
        <w:rPr>
          <w:rFonts w:eastAsia="Myriad Pro"/>
          <w:lang w:eastAsia="ar-SA"/>
        </w:rPr>
        <w:t xml:space="preserve">Nach EITI-Standard 2016 (Anforderung 2.4.c) </w:t>
      </w:r>
      <w:proofErr w:type="gramStart"/>
      <w:r w:rsidRPr="006B1873">
        <w:rPr>
          <w:rFonts w:eastAsia="Myriad Pro"/>
          <w:lang w:eastAsia="ar-SA"/>
        </w:rPr>
        <w:t>i )</w:t>
      </w:r>
      <w:proofErr w:type="gramEnd"/>
      <w:r w:rsidRPr="006B1873">
        <w:rPr>
          <w:rFonts w:eastAsia="Myriad Pro"/>
          <w:lang w:eastAsia="ar-SA"/>
        </w:rPr>
        <w:t xml:space="preserve"> umfasst der Begriff Vertrag „den vollständigen Wortlaut eines Vertrags, einer Bergbauberechtigung, einer Produktionsbeteiligungsvereinbarung oder anderer Vereinbarungen, die die Regierung erteilt oder eingeht und die die Bedingungen im Zusammenhang mit der Förderung von Öl, Erdgas und mineralischen Rohstoffen enthalten“.</w:t>
      </w:r>
      <w:r w:rsidR="006B1873">
        <w:rPr>
          <w:rFonts w:eastAsia="Myriad Pro"/>
          <w:lang w:eastAsia="ar-SA"/>
        </w:rPr>
        <w:t xml:space="preserve"> </w:t>
      </w:r>
      <w:r w:rsidRPr="006B1873">
        <w:rPr>
          <w:rFonts w:eastAsia="Times New Roman"/>
          <w:color w:val="auto"/>
          <w:lang w:eastAsia="ar-SA"/>
        </w:rPr>
        <w:t xml:space="preserve">Hier wäre unter anderem durch die MSG </w:t>
      </w:r>
      <w:r w:rsidRPr="006B1873">
        <w:rPr>
          <w:rFonts w:eastAsia="Times New Roman"/>
          <w:color w:val="auto"/>
          <w:lang w:eastAsia="ar-SA"/>
        </w:rPr>
        <w:lastRenderedPageBreak/>
        <w:t xml:space="preserve">zu prüfen und zu entscheiden, ob Erstbescheide (im Rahmen von Berechtigungs- und von Bewilligungsverfahren) und Betriebspläne unter diese Vertragsdefinition fallen und veröffentlicht werden sollen. </w:t>
      </w:r>
    </w:p>
    <w:p w:rsidR="00F90BD0" w:rsidRPr="006B1873" w:rsidRDefault="00F90BD0" w:rsidP="00F90BD0">
      <w:pPr>
        <w:pStyle w:val="Listenabsatz"/>
        <w:numPr>
          <w:ilvl w:val="0"/>
          <w:numId w:val="13"/>
        </w:numPr>
        <w:suppressAutoHyphens/>
        <w:spacing w:after="120" w:line="360" w:lineRule="auto"/>
        <w:jc w:val="both"/>
        <w:rPr>
          <w:rFonts w:eastAsia="Myriad Pro"/>
          <w:lang w:eastAsia="ar-SA"/>
        </w:rPr>
      </w:pPr>
      <w:r w:rsidRPr="006B1873">
        <w:rPr>
          <w:rFonts w:eastAsia="Times New Roman"/>
          <w:color w:val="auto"/>
          <w:lang w:eastAsia="ar-SA"/>
        </w:rPr>
        <w:t>Analog zu den Offenlegungs- und Berichtspflichten in anderen Bereichen der EITI-Umsetzung müsst</w:t>
      </w:r>
      <w:r w:rsidR="0031369B">
        <w:rPr>
          <w:rFonts w:eastAsia="Times New Roman"/>
          <w:color w:val="auto"/>
          <w:lang w:eastAsia="ar-SA"/>
        </w:rPr>
        <w:t>e</w:t>
      </w:r>
      <w:r w:rsidRPr="006B1873">
        <w:rPr>
          <w:rFonts w:eastAsia="Times New Roman"/>
          <w:color w:val="auto"/>
          <w:lang w:eastAsia="ar-SA"/>
        </w:rPr>
        <w:t xml:space="preserve"> </w:t>
      </w:r>
      <w:r w:rsidRPr="0031369B">
        <w:rPr>
          <w:rFonts w:eastAsia="Times New Roman"/>
          <w:b/>
          <w:color w:val="auto"/>
          <w:lang w:eastAsia="ar-SA"/>
        </w:rPr>
        <w:t>anschließend durch die MSG festgelegt werden, ob eine allgemeine und umfassende Offenlegung erfolgen soll, oder es Beschränkungen geben soll.</w:t>
      </w:r>
      <w:r w:rsidRPr="006B1873">
        <w:rPr>
          <w:rFonts w:eastAsia="Times New Roman"/>
          <w:color w:val="auto"/>
          <w:lang w:eastAsia="ar-SA"/>
        </w:rPr>
        <w:t xml:space="preserve"> Diese könnte die Zahl der von der Offenlegung betroffenen Unternehmen begrenzen (nur große Unternehmen im Sinne des </w:t>
      </w:r>
      <w:proofErr w:type="spellStart"/>
      <w:r w:rsidRPr="006B1873">
        <w:rPr>
          <w:rFonts w:eastAsia="Times New Roman"/>
          <w:color w:val="auto"/>
          <w:lang w:eastAsia="ar-SA"/>
        </w:rPr>
        <w:t>BilRUG</w:t>
      </w:r>
      <w:proofErr w:type="spellEnd"/>
      <w:r w:rsidRPr="006B1873">
        <w:rPr>
          <w:rFonts w:eastAsia="Times New Roman"/>
          <w:color w:val="auto"/>
          <w:lang w:eastAsia="ar-SA"/>
        </w:rPr>
        <w:t xml:space="preserve">, nur für den Zahlungsabgleich berichtspflichtige Unternehmen) oder die Anzahl der Verträge begrenzen (nur für bestimmte Rohstoffe, Schwellenwert für den Umfang des Vertrages etc.). </w:t>
      </w:r>
    </w:p>
    <w:p w:rsidR="00F90BD0" w:rsidRPr="00F90BD0" w:rsidRDefault="00F90BD0" w:rsidP="00F90BD0">
      <w:pPr>
        <w:suppressAutoHyphens/>
        <w:spacing w:after="120" w:line="360" w:lineRule="auto"/>
        <w:jc w:val="both"/>
        <w:rPr>
          <w:rFonts w:eastAsia="Times New Roman"/>
          <w:color w:val="auto"/>
          <w:lang w:eastAsia="ar-SA"/>
        </w:rPr>
      </w:pPr>
      <w:r w:rsidRPr="00F90BD0">
        <w:rPr>
          <w:rFonts w:eastAsia="Times New Roman"/>
          <w:color w:val="auto"/>
          <w:lang w:eastAsia="ar-SA"/>
        </w:rPr>
        <w:t>Unabhängig davon, ob sich die MSG für oder gegen eine Offenlegung von Verträgen entscheidet muss nach EITI Anforderung 2.4. b) im EITI-Bericht die Politik der Regierung(en) zur Offenlegung von Verträgen und Lizenzen dokumentiert werden.</w:t>
      </w:r>
      <w:r w:rsidR="006B1873">
        <w:rPr>
          <w:rFonts w:eastAsia="Times New Roman"/>
          <w:color w:val="auto"/>
          <w:lang w:eastAsia="ar-SA"/>
        </w:rPr>
        <w:t xml:space="preserve"> </w:t>
      </w:r>
      <w:r w:rsidRPr="00F90BD0">
        <w:rPr>
          <w:rFonts w:eastAsia="Times New Roman"/>
          <w:color w:val="auto"/>
          <w:lang w:eastAsia="ar-SA"/>
        </w:rPr>
        <w:t xml:space="preserve">Zusammengefasst ergeben sich demnach für die Umsetzung der EITI in DEU </w:t>
      </w:r>
      <w:r w:rsidR="006B1873">
        <w:rPr>
          <w:rFonts w:eastAsia="Times New Roman"/>
          <w:color w:val="auto"/>
          <w:lang w:eastAsia="ar-SA"/>
        </w:rPr>
        <w:t xml:space="preserve">für den Bereich Offenlegung </w:t>
      </w:r>
      <w:r w:rsidR="0031369B">
        <w:rPr>
          <w:rFonts w:eastAsia="Times New Roman"/>
          <w:color w:val="auto"/>
          <w:lang w:eastAsia="ar-SA"/>
        </w:rPr>
        <w:t>von</w:t>
      </w:r>
      <w:r w:rsidRPr="00F90BD0">
        <w:rPr>
          <w:rFonts w:eastAsia="Times New Roman"/>
          <w:color w:val="auto"/>
          <w:lang w:eastAsia="ar-SA"/>
        </w:rPr>
        <w:t xml:space="preserve"> Verträgen die folgenden Fragestellungen: </w:t>
      </w:r>
    </w:p>
    <w:p w:rsidR="00F90BD0" w:rsidRPr="00F90BD0" w:rsidRDefault="00F90BD0" w:rsidP="00F90BD0">
      <w:pPr>
        <w:suppressAutoHyphens/>
        <w:spacing w:after="120" w:line="360" w:lineRule="auto"/>
        <w:jc w:val="both"/>
        <w:rPr>
          <w:rFonts w:eastAsia="Times New Roman"/>
          <w:color w:val="auto"/>
          <w:lang w:eastAsia="ar-SA"/>
        </w:rPr>
      </w:pPr>
      <w:r w:rsidRPr="00F90BD0">
        <w:rPr>
          <w:rFonts w:eastAsia="Times New Roman"/>
          <w:color w:val="auto"/>
          <w:u w:val="single"/>
          <w:lang w:eastAsia="ar-SA"/>
        </w:rPr>
        <w:t>Verträge:</w:t>
      </w:r>
    </w:p>
    <w:p w:rsidR="00F90BD0" w:rsidRPr="00F90BD0" w:rsidRDefault="00F90BD0" w:rsidP="00F90BD0">
      <w:pPr>
        <w:numPr>
          <w:ilvl w:val="0"/>
          <w:numId w:val="12"/>
        </w:numPr>
        <w:tabs>
          <w:tab w:val="num" w:pos="720"/>
        </w:tabs>
        <w:suppressAutoHyphens/>
        <w:spacing w:after="120" w:line="360" w:lineRule="auto"/>
        <w:jc w:val="both"/>
        <w:rPr>
          <w:rFonts w:eastAsia="Times New Roman"/>
          <w:color w:val="auto"/>
          <w:lang w:eastAsia="ar-SA"/>
        </w:rPr>
      </w:pPr>
      <w:r w:rsidRPr="00F90BD0">
        <w:rPr>
          <w:rFonts w:eastAsia="Times New Roman"/>
          <w:color w:val="auto"/>
          <w:lang w:eastAsia="ar-SA"/>
        </w:rPr>
        <w:t>soll grundsätzlich der Empfehlung des EITI-Standards gefolgt werden und eine Offenlegung von Verträgen erfolgen?</w:t>
      </w:r>
    </w:p>
    <w:p w:rsidR="00F90BD0" w:rsidRPr="00F90BD0" w:rsidRDefault="00F90BD0" w:rsidP="00F90BD0">
      <w:pPr>
        <w:numPr>
          <w:ilvl w:val="0"/>
          <w:numId w:val="12"/>
        </w:numPr>
        <w:tabs>
          <w:tab w:val="num" w:pos="720"/>
        </w:tabs>
        <w:suppressAutoHyphens/>
        <w:spacing w:after="120" w:line="360" w:lineRule="auto"/>
        <w:jc w:val="both"/>
        <w:rPr>
          <w:rFonts w:eastAsia="Times New Roman"/>
          <w:color w:val="auto"/>
          <w:lang w:eastAsia="ar-SA"/>
        </w:rPr>
      </w:pPr>
      <w:r w:rsidRPr="00F90BD0">
        <w:rPr>
          <w:rFonts w:eastAsia="Times New Roman"/>
          <w:color w:val="auto"/>
          <w:lang w:eastAsia="ar-SA"/>
        </w:rPr>
        <w:t>Wenn eine Offenlegung beschlossen wird, soll diese Verträge im Bereich der grundeigenen und Grundeigentümerrohstoffe umfassen? Sollen hier auch Verträge zwischen Privatpersonen und Unternehmen offengelegt werden?</w:t>
      </w:r>
    </w:p>
    <w:p w:rsidR="00F90BD0" w:rsidRPr="00F90BD0" w:rsidRDefault="00F90BD0" w:rsidP="00F90BD0">
      <w:pPr>
        <w:numPr>
          <w:ilvl w:val="0"/>
          <w:numId w:val="12"/>
        </w:numPr>
        <w:tabs>
          <w:tab w:val="num" w:pos="720"/>
        </w:tabs>
        <w:suppressAutoHyphens/>
        <w:spacing w:after="120" w:line="360" w:lineRule="auto"/>
        <w:jc w:val="both"/>
        <w:rPr>
          <w:rFonts w:eastAsia="Times New Roman"/>
          <w:color w:val="auto"/>
          <w:lang w:eastAsia="ar-SA"/>
        </w:rPr>
      </w:pPr>
      <w:r w:rsidRPr="00F90BD0">
        <w:rPr>
          <w:rFonts w:eastAsia="Times New Roman"/>
          <w:color w:val="auto"/>
          <w:lang w:eastAsia="ar-SA"/>
        </w:rPr>
        <w:t>Wenn eine Offenlegung beschlossen wird, sind dann auch Bestandteile des bergrechtlichen Lizenzverfahrens (Erstbescheide, Betriebspläne) als Vertrag zu interpretieren?</w:t>
      </w:r>
    </w:p>
    <w:p w:rsidR="00324783" w:rsidRPr="00B34348" w:rsidRDefault="00F90BD0" w:rsidP="006B1873">
      <w:pPr>
        <w:numPr>
          <w:ilvl w:val="0"/>
          <w:numId w:val="12"/>
        </w:numPr>
        <w:suppressAutoHyphens/>
        <w:spacing w:after="120" w:line="360" w:lineRule="auto"/>
        <w:jc w:val="both"/>
        <w:rPr>
          <w:rFonts w:eastAsia="Times New Roman"/>
          <w:color w:val="auto"/>
          <w:lang w:eastAsia="ar-SA"/>
        </w:rPr>
      </w:pPr>
      <w:r w:rsidRPr="00F90BD0">
        <w:rPr>
          <w:rFonts w:eastAsia="Times New Roman"/>
          <w:color w:val="auto"/>
          <w:lang w:eastAsia="ar-SA"/>
        </w:rPr>
        <w:t>Wenn eine Offenlegung beschlossen wird, gibt es Einschränkungen bei der Offenlegung in Bezug zu den beteiligten Unternehmen (z.B. Größe) und/oder dem Umfang der Verträge und/oder der betroffenen Rohstoffe?</w:t>
      </w:r>
    </w:p>
    <w:sectPr w:rsidR="00324783" w:rsidRPr="00B34348" w:rsidSect="00F90BD0">
      <w:headerReference w:type="default" r:id="rId11"/>
      <w:footerReference w:type="default" r:id="rId12"/>
      <w:headerReference w:type="first" r:id="rId13"/>
      <w:pgSz w:w="12240" w:h="15840"/>
      <w:pgMar w:top="777" w:right="1440" w:bottom="720" w:left="1440" w:header="283"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509" w:rsidRDefault="00847885">
      <w:pPr>
        <w:spacing w:line="240" w:lineRule="auto"/>
      </w:pPr>
      <w:r>
        <w:separator/>
      </w:r>
    </w:p>
  </w:endnote>
  <w:endnote w:type="continuationSeparator" w:id="0">
    <w:p w:rsidR="00915509" w:rsidRDefault="00847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302">
    <w:altName w:val="Times New Roman"/>
    <w:charset w:val="00"/>
    <w:family w:val="auto"/>
    <w:pitch w:val="variable"/>
  </w:font>
  <w:font w:name="Myriad Pro">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83" w:rsidRDefault="00847885">
    <w:pPr>
      <w:tabs>
        <w:tab w:val="center" w:pos="4819"/>
        <w:tab w:val="right" w:pos="9638"/>
      </w:tabs>
      <w:spacing w:after="720"/>
      <w:jc w:val="right"/>
    </w:pPr>
    <w:r>
      <w:fldChar w:fldCharType="begin"/>
    </w:r>
    <w:r>
      <w:instrText>PAGE</w:instrText>
    </w:r>
    <w:r>
      <w:fldChar w:fldCharType="separate"/>
    </w:r>
    <w:r w:rsidR="00194168">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509" w:rsidRDefault="00847885">
      <w:pPr>
        <w:spacing w:line="240" w:lineRule="auto"/>
      </w:pPr>
      <w:r>
        <w:separator/>
      </w:r>
    </w:p>
  </w:footnote>
  <w:footnote w:type="continuationSeparator" w:id="0">
    <w:p w:rsidR="00915509" w:rsidRDefault="00847885">
      <w:pPr>
        <w:spacing w:line="240" w:lineRule="auto"/>
      </w:pPr>
      <w:r>
        <w:continuationSeparator/>
      </w:r>
    </w:p>
  </w:footnote>
  <w:footnote w:id="1">
    <w:p w:rsidR="00F90BD0" w:rsidRPr="00194168" w:rsidRDefault="00F90BD0" w:rsidP="00F90BD0">
      <w:pPr>
        <w:spacing w:line="240" w:lineRule="auto"/>
        <w:rPr>
          <w:sz w:val="16"/>
          <w:szCs w:val="16"/>
          <w:lang w:val="en-US"/>
        </w:rPr>
      </w:pPr>
      <w:r w:rsidRPr="00B34348">
        <w:rPr>
          <w:rStyle w:val="Funotenzeichen10"/>
          <w:sz w:val="16"/>
          <w:szCs w:val="16"/>
        </w:rPr>
        <w:footnoteRef/>
      </w:r>
      <w:r w:rsidRPr="00194168">
        <w:rPr>
          <w:lang w:val="en-US"/>
        </w:rPr>
        <w:br w:type="page"/>
      </w:r>
      <w:r w:rsidRPr="00194168">
        <w:rPr>
          <w:rStyle w:val="Funotenzeichen1"/>
          <w:rFonts w:ascii="Times New Roman" w:hAnsi="Times New Roman" w:cs="Times New Roman"/>
          <w:sz w:val="16"/>
          <w:szCs w:val="16"/>
          <w:lang w:val="en-US"/>
        </w:rPr>
        <w:tab/>
      </w:r>
      <w:r w:rsidRPr="00B34348">
        <w:rPr>
          <w:rFonts w:ascii="Times New Roman" w:hAnsi="Times New Roman" w:cs="Times New Roman"/>
          <w:sz w:val="16"/>
          <w:szCs w:val="16"/>
          <w:lang w:val="en-US"/>
        </w:rPr>
        <w:t xml:space="preserve"> Z.B. OCP (2</w:t>
      </w:r>
      <w:bookmarkStart w:id="0" w:name="_GoBack"/>
      <w:bookmarkEnd w:id="0"/>
      <w:r w:rsidRPr="00B34348">
        <w:rPr>
          <w:rFonts w:ascii="Times New Roman" w:hAnsi="Times New Roman" w:cs="Times New Roman"/>
          <w:sz w:val="16"/>
          <w:szCs w:val="16"/>
          <w:lang w:val="en-US"/>
        </w:rPr>
        <w:t>013) Mining Contracts: How to Read and Understand Them.</w:t>
      </w:r>
    </w:p>
  </w:footnote>
  <w:footnote w:id="2">
    <w:p w:rsidR="00F90BD0" w:rsidRPr="00194168" w:rsidRDefault="00F90BD0" w:rsidP="0031369B">
      <w:pPr>
        <w:spacing w:line="240" w:lineRule="auto"/>
        <w:rPr>
          <w:sz w:val="16"/>
          <w:szCs w:val="16"/>
          <w:lang w:val="en-US"/>
        </w:rPr>
      </w:pPr>
      <w:r w:rsidRPr="00B34348">
        <w:rPr>
          <w:rStyle w:val="Funotenzeichen10"/>
          <w:sz w:val="16"/>
          <w:szCs w:val="16"/>
        </w:rPr>
        <w:footnoteRef/>
      </w:r>
      <w:r w:rsidRPr="00194168">
        <w:rPr>
          <w:lang w:val="en-US"/>
        </w:rPr>
        <w:br w:type="page"/>
      </w:r>
      <w:r w:rsidRPr="00194168">
        <w:rPr>
          <w:rStyle w:val="Funotenzeichen1"/>
          <w:rFonts w:ascii="Times New Roman" w:hAnsi="Times New Roman" w:cs="Times New Roman"/>
          <w:sz w:val="16"/>
          <w:szCs w:val="16"/>
          <w:lang w:val="en-US"/>
        </w:rPr>
        <w:tab/>
      </w:r>
      <w:r w:rsidRPr="00194168">
        <w:rPr>
          <w:rFonts w:ascii="Times New Roman" w:hAnsi="Times New Roman" w:cs="Times New Roman"/>
          <w:sz w:val="16"/>
          <w:szCs w:val="16"/>
          <w:lang w:val="en-US"/>
        </w:rPr>
        <w:t xml:space="preserve"> </w:t>
      </w:r>
      <w:hyperlink r:id="rId1" w:history="1">
        <w:r w:rsidRPr="00194168">
          <w:rPr>
            <w:rStyle w:val="Hyperlink"/>
            <w:rFonts w:ascii="Times New Roman" w:hAnsi="Times New Roman" w:cs="Times New Roman"/>
            <w:sz w:val="16"/>
            <w:szCs w:val="16"/>
            <w:lang w:val="en-US"/>
          </w:rPr>
          <w:t>http://www.open-contracting.org/global_principles</w:t>
        </w:r>
      </w:hyperlink>
      <w:r w:rsidRPr="00194168">
        <w:rPr>
          <w:rFonts w:ascii="Times New Roman" w:hAnsi="Times New Roman" w:cs="Times New Roman"/>
          <w:sz w:val="16"/>
          <w:szCs w:val="16"/>
          <w:lang w:val="en-US"/>
        </w:rPr>
        <w:t xml:space="preserve"> </w:t>
      </w:r>
    </w:p>
  </w:footnote>
  <w:footnote w:id="3">
    <w:p w:rsidR="00F90BD0" w:rsidRPr="00194168" w:rsidRDefault="00F90BD0" w:rsidP="00F90BD0">
      <w:pPr>
        <w:rPr>
          <w:sz w:val="16"/>
          <w:szCs w:val="16"/>
          <w:lang w:val="en-US"/>
        </w:rPr>
      </w:pPr>
      <w:r w:rsidRPr="00B34348">
        <w:rPr>
          <w:rStyle w:val="Funotenzeichen10"/>
          <w:sz w:val="16"/>
          <w:szCs w:val="16"/>
        </w:rPr>
        <w:footnoteRef/>
      </w:r>
      <w:r w:rsidRPr="00194168">
        <w:rPr>
          <w:lang w:val="en-US"/>
        </w:rPr>
        <w:br w:type="page"/>
      </w:r>
      <w:r w:rsidRPr="00194168">
        <w:rPr>
          <w:rStyle w:val="Funotenzeichen1"/>
          <w:rFonts w:ascii="Times New Roman" w:hAnsi="Times New Roman" w:cs="Times New Roman"/>
          <w:sz w:val="16"/>
          <w:szCs w:val="16"/>
          <w:lang w:val="en-US"/>
        </w:rPr>
        <w:tab/>
      </w:r>
      <w:r w:rsidRPr="00194168">
        <w:rPr>
          <w:rFonts w:ascii="Times New Roman" w:hAnsi="Times New Roman" w:cs="Times New Roman"/>
          <w:sz w:val="16"/>
          <w:szCs w:val="16"/>
          <w:lang w:val="en-US"/>
        </w:rPr>
        <w:t xml:space="preserve"> </w:t>
      </w:r>
      <w:hyperlink r:id="rId2" w:history="1">
        <w:r w:rsidRPr="00194168">
          <w:rPr>
            <w:rStyle w:val="Hyperlink"/>
            <w:rFonts w:ascii="Times New Roman" w:hAnsi="Times New Roman" w:cs="Times New Roman"/>
            <w:sz w:val="16"/>
            <w:szCs w:val="16"/>
            <w:lang w:val="en-US"/>
          </w:rPr>
          <w:t>http://www.open-contracting.org/walking_the_g8s_talk_on_open_contracting</w:t>
        </w:r>
      </w:hyperlink>
    </w:p>
  </w:footnote>
  <w:footnote w:id="4">
    <w:p w:rsidR="00F90BD0" w:rsidRPr="00194168" w:rsidRDefault="00F90BD0" w:rsidP="00F90BD0">
      <w:pPr>
        <w:spacing w:line="240" w:lineRule="auto"/>
        <w:rPr>
          <w:sz w:val="16"/>
          <w:szCs w:val="16"/>
          <w:lang w:val="en-US"/>
        </w:rPr>
      </w:pPr>
      <w:r w:rsidRPr="00B34348">
        <w:rPr>
          <w:rStyle w:val="Funotenzeichen10"/>
          <w:sz w:val="16"/>
          <w:szCs w:val="16"/>
        </w:rPr>
        <w:footnoteRef/>
      </w:r>
      <w:r w:rsidRPr="00194168">
        <w:rPr>
          <w:lang w:val="en-US"/>
        </w:rPr>
        <w:br w:type="page"/>
      </w:r>
      <w:r w:rsidRPr="00194168">
        <w:rPr>
          <w:rStyle w:val="Funotenzeichen1"/>
          <w:rFonts w:ascii="Times New Roman" w:hAnsi="Times New Roman" w:cs="Times New Roman"/>
          <w:sz w:val="16"/>
          <w:szCs w:val="16"/>
          <w:lang w:val="en-US"/>
        </w:rPr>
        <w:tab/>
      </w:r>
      <w:r w:rsidRPr="00194168">
        <w:rPr>
          <w:rFonts w:ascii="Times New Roman" w:hAnsi="Times New Roman" w:cs="Times New Roman"/>
          <w:sz w:val="16"/>
          <w:szCs w:val="16"/>
          <w:lang w:val="en-US"/>
        </w:rPr>
        <w:t xml:space="preserve"> </w:t>
      </w:r>
      <w:hyperlink r:id="rId3" w:history="1">
        <w:r w:rsidRPr="00194168">
          <w:rPr>
            <w:rStyle w:val="Hyperlink"/>
            <w:rFonts w:ascii="Times New Roman" w:hAnsi="Times New Roman" w:cs="Times New Roman"/>
            <w:sz w:val="16"/>
            <w:szCs w:val="16"/>
            <w:lang w:val="en-US"/>
          </w:rPr>
          <w:t>http://www.opengovpartnership.org/how-it-works/how-join</w:t>
        </w:r>
      </w:hyperlink>
    </w:p>
  </w:footnote>
  <w:footnote w:id="5">
    <w:p w:rsidR="00F90BD0" w:rsidRPr="00194168" w:rsidRDefault="00F90BD0" w:rsidP="00F90BD0">
      <w:pPr>
        <w:spacing w:line="240" w:lineRule="auto"/>
        <w:rPr>
          <w:sz w:val="16"/>
          <w:szCs w:val="16"/>
          <w:lang w:val="en-US"/>
        </w:rPr>
      </w:pPr>
      <w:r w:rsidRPr="00B34348">
        <w:rPr>
          <w:rStyle w:val="Funotenzeichen10"/>
          <w:sz w:val="16"/>
          <w:szCs w:val="16"/>
        </w:rPr>
        <w:footnoteRef/>
      </w:r>
      <w:r w:rsidRPr="00194168">
        <w:rPr>
          <w:lang w:val="en-US"/>
        </w:rPr>
        <w:br w:type="page"/>
      </w:r>
      <w:r w:rsidRPr="00194168">
        <w:rPr>
          <w:rStyle w:val="Funotenzeichen1"/>
          <w:rFonts w:ascii="Times New Roman" w:hAnsi="Times New Roman" w:cs="Times New Roman"/>
          <w:sz w:val="16"/>
          <w:szCs w:val="16"/>
          <w:lang w:val="en-US"/>
        </w:rPr>
        <w:tab/>
      </w:r>
      <w:r w:rsidRPr="00194168">
        <w:rPr>
          <w:rFonts w:ascii="Times New Roman" w:hAnsi="Times New Roman" w:cs="Times New Roman"/>
          <w:sz w:val="16"/>
          <w:szCs w:val="16"/>
          <w:lang w:val="en-US"/>
        </w:rPr>
        <w:t xml:space="preserve"> </w:t>
      </w:r>
      <w:hyperlink r:id="rId4" w:history="1">
        <w:r w:rsidRPr="00194168">
          <w:rPr>
            <w:rStyle w:val="Hyperlink"/>
            <w:rFonts w:ascii="Times New Roman" w:hAnsi="Times New Roman" w:cs="Times New Roman"/>
            <w:sz w:val="16"/>
            <w:szCs w:val="16"/>
            <w:lang w:val="en-US"/>
          </w:rPr>
          <w:t>http://www.opengovpartnership.org/how-it-works/civil-society-dialogue</w:t>
        </w:r>
      </w:hyperlink>
      <w:r w:rsidRPr="00194168">
        <w:rPr>
          <w:rFonts w:ascii="Times New Roman" w:hAnsi="Times New Roman" w:cs="Times New Roman"/>
          <w:sz w:val="16"/>
          <w:szCs w:val="16"/>
          <w:lang w:val="en-US"/>
        </w:rPr>
        <w:t xml:space="preserve"> </w:t>
      </w:r>
    </w:p>
  </w:footnote>
  <w:footnote w:id="6">
    <w:p w:rsidR="00F90BD0" w:rsidRPr="00194168" w:rsidRDefault="00F90BD0" w:rsidP="00F90BD0">
      <w:pPr>
        <w:spacing w:line="240" w:lineRule="auto"/>
        <w:rPr>
          <w:sz w:val="16"/>
          <w:szCs w:val="16"/>
          <w:lang w:val="en-US"/>
        </w:rPr>
      </w:pPr>
      <w:r w:rsidRPr="00B34348">
        <w:rPr>
          <w:rStyle w:val="Funotenzeichen10"/>
          <w:sz w:val="16"/>
          <w:szCs w:val="16"/>
        </w:rPr>
        <w:footnoteRef/>
      </w:r>
      <w:r w:rsidRPr="00194168">
        <w:rPr>
          <w:lang w:val="en-US"/>
        </w:rPr>
        <w:br w:type="page"/>
      </w:r>
      <w:r w:rsidRPr="00194168">
        <w:rPr>
          <w:rStyle w:val="Funotenzeichen1"/>
          <w:rFonts w:ascii="Times New Roman" w:hAnsi="Times New Roman" w:cs="Times New Roman"/>
          <w:sz w:val="16"/>
          <w:szCs w:val="16"/>
          <w:lang w:val="en-US"/>
        </w:rPr>
        <w:tab/>
      </w:r>
      <w:r w:rsidRPr="00194168">
        <w:rPr>
          <w:rFonts w:ascii="Times New Roman" w:hAnsi="Times New Roman" w:cs="Times New Roman"/>
          <w:sz w:val="16"/>
          <w:szCs w:val="16"/>
          <w:lang w:val="en-US"/>
        </w:rPr>
        <w:t xml:space="preserve"> </w:t>
      </w:r>
      <w:hyperlink r:id="rId5" w:history="1">
        <w:r w:rsidRPr="00194168">
          <w:rPr>
            <w:rStyle w:val="Hyperlink"/>
            <w:rFonts w:ascii="Times New Roman" w:hAnsi="Times New Roman" w:cs="Times New Roman"/>
            <w:sz w:val="16"/>
            <w:szCs w:val="16"/>
            <w:lang w:val="en-US"/>
          </w:rPr>
          <w:t>http://www.opengovpartnership.org/independent-reporting-mechanism</w:t>
        </w:r>
      </w:hyperlink>
      <w:r w:rsidRPr="00194168">
        <w:rPr>
          <w:rFonts w:ascii="Times New Roman" w:hAnsi="Times New Roman" w:cs="Times New Roman"/>
          <w:sz w:val="16"/>
          <w:szCs w:val="16"/>
          <w:lang w:val="en-US"/>
        </w:rPr>
        <w:t xml:space="preserve"> </w:t>
      </w:r>
    </w:p>
  </w:footnote>
  <w:footnote w:id="7">
    <w:p w:rsidR="00F90BD0" w:rsidRPr="00194168" w:rsidRDefault="00F90BD0" w:rsidP="00F90BD0">
      <w:pPr>
        <w:spacing w:line="240" w:lineRule="auto"/>
        <w:rPr>
          <w:sz w:val="16"/>
          <w:szCs w:val="16"/>
          <w:lang w:val="en-US"/>
        </w:rPr>
      </w:pPr>
      <w:r w:rsidRPr="00B34348">
        <w:rPr>
          <w:rStyle w:val="Funotenzeichen10"/>
          <w:sz w:val="16"/>
          <w:szCs w:val="16"/>
        </w:rPr>
        <w:footnoteRef/>
      </w:r>
      <w:r w:rsidRPr="00194168">
        <w:rPr>
          <w:lang w:val="en-US"/>
        </w:rPr>
        <w:br w:type="page"/>
      </w:r>
      <w:r w:rsidRPr="00194168">
        <w:rPr>
          <w:rStyle w:val="Funotenzeichen1"/>
          <w:rFonts w:ascii="Times New Roman" w:hAnsi="Times New Roman" w:cs="Times New Roman"/>
          <w:sz w:val="16"/>
          <w:szCs w:val="16"/>
          <w:lang w:val="en-US"/>
        </w:rPr>
        <w:tab/>
      </w:r>
      <w:r w:rsidRPr="00194168">
        <w:rPr>
          <w:rFonts w:ascii="Times New Roman" w:hAnsi="Times New Roman" w:cs="Times New Roman"/>
          <w:sz w:val="16"/>
          <w:szCs w:val="16"/>
          <w:lang w:val="en-US"/>
        </w:rPr>
        <w:t xml:space="preserve"> </w:t>
      </w:r>
      <w:hyperlink r:id="rId6" w:history="1">
        <w:r w:rsidRPr="00194168">
          <w:rPr>
            <w:rStyle w:val="Hyperlink"/>
            <w:rFonts w:ascii="Times New Roman" w:hAnsi="Times New Roman" w:cs="Times New Roman"/>
            <w:sz w:val="16"/>
            <w:szCs w:val="16"/>
            <w:lang w:val="en-US"/>
          </w:rPr>
          <w:t>http://www.opengovpartnership.org/how-it-works/eligibility-criteria</w:t>
        </w:r>
      </w:hyperlink>
      <w:r w:rsidRPr="00194168">
        <w:rPr>
          <w:rFonts w:ascii="Times New Roman" w:hAnsi="Times New Roman" w:cs="Times New Roman"/>
          <w:sz w:val="16"/>
          <w:szCs w:val="16"/>
          <w:lang w:val="en-US"/>
        </w:rPr>
        <w:t xml:space="preserve"> </w:t>
      </w:r>
    </w:p>
  </w:footnote>
  <w:footnote w:id="8">
    <w:p w:rsidR="00F90BD0" w:rsidRPr="00B34348" w:rsidRDefault="00F90BD0" w:rsidP="00F90BD0">
      <w:pPr>
        <w:spacing w:line="240" w:lineRule="auto"/>
        <w:rPr>
          <w:sz w:val="16"/>
          <w:szCs w:val="16"/>
        </w:rPr>
      </w:pPr>
      <w:r w:rsidRPr="00B34348">
        <w:rPr>
          <w:rStyle w:val="Funotenzeichen10"/>
          <w:sz w:val="16"/>
          <w:szCs w:val="16"/>
        </w:rPr>
        <w:footnoteRef/>
      </w:r>
      <w:r w:rsidRPr="00B34348">
        <w:br w:type="page"/>
      </w:r>
      <w:r w:rsidRPr="00B34348">
        <w:rPr>
          <w:rStyle w:val="Funotenzeichen1"/>
          <w:rFonts w:ascii="Times New Roman" w:hAnsi="Times New Roman" w:cs="Times New Roman"/>
          <w:sz w:val="16"/>
          <w:szCs w:val="16"/>
        </w:rPr>
        <w:tab/>
      </w:r>
      <w:r w:rsidRPr="00B34348">
        <w:rPr>
          <w:rFonts w:ascii="Times New Roman" w:hAnsi="Times New Roman" w:cs="Times New Roman"/>
          <w:sz w:val="16"/>
          <w:szCs w:val="16"/>
        </w:rPr>
        <w:t xml:space="preserve"> CDU, CSU und SPD (2013): Deutschlands Zukunft gestalten. Koalitionsvertrag zwischen CDU, CSU und SPD, 18. Legislaturperiode, S. 152, online </w:t>
      </w:r>
      <w:hyperlink r:id="rId7" w:history="1">
        <w:r w:rsidRPr="00B34348">
          <w:rPr>
            <w:rStyle w:val="Hyperlink"/>
            <w:rFonts w:ascii="Times New Roman" w:hAnsi="Times New Roman" w:cs="Times New Roman"/>
            <w:sz w:val="16"/>
            <w:szCs w:val="16"/>
          </w:rPr>
          <w:t>hier</w:t>
        </w:r>
      </w:hyperlink>
      <w:r w:rsidRPr="00B34348">
        <w:rPr>
          <w:rFonts w:ascii="Times New Roman" w:hAnsi="Times New Roman" w:cs="Times New Roman"/>
          <w:sz w:val="16"/>
          <w:szCs w:val="16"/>
        </w:rPr>
        <w:t xml:space="preserve"> abrufbar (zuletzt geprüft am 06.07.2016). </w:t>
      </w:r>
    </w:p>
  </w:footnote>
  <w:footnote w:id="9">
    <w:p w:rsidR="00F90BD0" w:rsidRPr="00B34348" w:rsidRDefault="00F90BD0" w:rsidP="00F90BD0">
      <w:pPr>
        <w:rPr>
          <w:sz w:val="16"/>
          <w:szCs w:val="16"/>
        </w:rPr>
      </w:pPr>
      <w:r w:rsidRPr="00B34348">
        <w:rPr>
          <w:rStyle w:val="Funotenzeichen10"/>
          <w:sz w:val="16"/>
          <w:szCs w:val="16"/>
        </w:rPr>
        <w:footnoteRef/>
      </w:r>
      <w:r w:rsidRPr="00B34348">
        <w:br w:type="page"/>
      </w:r>
      <w:r w:rsidRPr="00B34348">
        <w:rPr>
          <w:rStyle w:val="Funotenzeichen1"/>
          <w:rFonts w:ascii="Times New Roman" w:hAnsi="Times New Roman" w:cs="Times New Roman"/>
          <w:sz w:val="16"/>
          <w:szCs w:val="16"/>
        </w:rPr>
        <w:tab/>
      </w:r>
      <w:r w:rsidRPr="00B34348">
        <w:rPr>
          <w:rFonts w:ascii="Times New Roman" w:hAnsi="Times New Roman" w:cs="Times New Roman"/>
          <w:sz w:val="16"/>
          <w:szCs w:val="16"/>
        </w:rPr>
        <w:t xml:space="preserve"> </w:t>
      </w:r>
      <w:hyperlink r:id="rId8" w:history="1">
        <w:r w:rsidRPr="00B34348">
          <w:rPr>
            <w:rStyle w:val="Hyperlink"/>
            <w:rFonts w:ascii="Times New Roman" w:hAnsi="Times New Roman" w:cs="Times New Roman"/>
            <w:sz w:val="16"/>
            <w:szCs w:val="16"/>
          </w:rPr>
          <w:t>http://www.bmz.de/de/presse/aktuelleMeldungen/2014/juni/140617_G7-setzen-sich-fuer-faire-Rohstoffvertraege-ein-Start-der-CONNEX-Initiative/index.html</w:t>
        </w:r>
      </w:hyperlink>
      <w:r w:rsidRPr="00B34348">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D5" w:rsidRDefault="005D5ED5" w:rsidP="005D5ED5">
    <w:pPr>
      <w:spacing w:before="720"/>
      <w:jc w:val="right"/>
    </w:pPr>
    <w:r>
      <w:rPr>
        <w:noProof/>
      </w:rPr>
      <w:drawing>
        <wp:anchor distT="0" distB="0" distL="114300" distR="114300" simplePos="0" relativeHeight="251658240" behindDoc="0" locked="0" layoutInCell="0" hidden="0" allowOverlap="1" wp14:anchorId="44B7DB56" wp14:editId="5C66476F">
          <wp:simplePos x="0" y="0"/>
          <wp:positionH relativeFrom="margin">
            <wp:posOffset>4528820</wp:posOffset>
          </wp:positionH>
          <wp:positionV relativeFrom="paragraph">
            <wp:posOffset>478790</wp:posOffset>
          </wp:positionV>
          <wp:extent cx="1494155" cy="261620"/>
          <wp:effectExtent l="0" t="0" r="0" b="5080"/>
          <wp:wrapTopAndBottom distT="0" distB="0"/>
          <wp:docPr id="2"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
                  <a:srcRect/>
                  <a:stretch>
                    <a:fillRect/>
                  </a:stretch>
                </pic:blipFill>
                <pic:spPr>
                  <a:xfrm>
                    <a:off x="0" y="0"/>
                    <a:ext cx="1494155" cy="261620"/>
                  </a:xfrm>
                  <a:prstGeom prst="rect">
                    <a:avLst/>
                  </a:prstGeom>
                  <a:ln/>
                </pic:spPr>
              </pic:pic>
            </a:graphicData>
          </a:graphic>
        </wp:anchor>
      </w:drawing>
    </w:r>
  </w:p>
  <w:p w:rsidR="00324783" w:rsidRDefault="00324783" w:rsidP="005D5ED5">
    <w:pPr>
      <w:spacing w:befor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83" w:rsidRDefault="00F90BD0" w:rsidP="00F90BD0">
    <w:pPr>
      <w:tabs>
        <w:tab w:val="center" w:pos="4536"/>
        <w:tab w:val="right" w:pos="9072"/>
        <w:tab w:val="right" w:pos="9360"/>
      </w:tabs>
      <w:spacing w:before="720" w:line="240" w:lineRule="auto"/>
    </w:pPr>
    <w:r>
      <w:tab/>
    </w:r>
    <w:r>
      <w:tab/>
    </w:r>
    <w:r>
      <w:tab/>
    </w:r>
    <w:r w:rsidR="005D5ED5">
      <w:rPr>
        <w:noProof/>
      </w:rPr>
      <w:drawing>
        <wp:anchor distT="0" distB="0" distL="114300" distR="114300" simplePos="0" relativeHeight="251659264" behindDoc="0" locked="0" layoutInCell="1" allowOverlap="1" wp14:anchorId="5ACF5B51" wp14:editId="5FEF2524">
          <wp:simplePos x="0" y="0"/>
          <wp:positionH relativeFrom="column">
            <wp:posOffset>4448175</wp:posOffset>
          </wp:positionH>
          <wp:positionV relativeFrom="paragraph">
            <wp:posOffset>232710</wp:posOffset>
          </wp:positionV>
          <wp:extent cx="1493520" cy="262255"/>
          <wp:effectExtent l="0" t="0" r="0"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262255"/>
                  </a:xfrm>
                  <a:prstGeom prst="rect">
                    <a:avLst/>
                  </a:prstGeom>
                  <a:noFill/>
                </pic:spPr>
              </pic:pic>
            </a:graphicData>
          </a:graphic>
          <wp14:sizeRelH relativeFrom="page">
            <wp14:pctWidth>0</wp14:pctWidth>
          </wp14:sizeRelH>
          <wp14:sizeRelV relativeFrom="page">
            <wp14:pctHeight>0</wp14:pctHeight>
          </wp14:sizeRelV>
        </wp:anchor>
      </w:drawing>
    </w:r>
  </w:p>
  <w:p w:rsidR="005D5ED5" w:rsidRDefault="005D5ED5" w:rsidP="005D5ED5">
    <w:pPr>
      <w:tabs>
        <w:tab w:val="center" w:pos="4536"/>
        <w:tab w:val="right" w:pos="9072"/>
      </w:tabs>
      <w:spacing w:before="36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multilevel"/>
    <w:tmpl w:val="00000003"/>
    <w:name w:val="WWNum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4"/>
    <w:multiLevelType w:val="multilevel"/>
    <w:tmpl w:val="00000004"/>
    <w:name w:val="WWNum21"/>
    <w:lvl w:ilvl="0">
      <w:start w:val="1"/>
      <w:numFmt w:val="upperRoman"/>
      <w:lvlText w:val="%1."/>
      <w:lvlJc w:val="left"/>
      <w:pPr>
        <w:tabs>
          <w:tab w:val="num" w:pos="0"/>
        </w:tabs>
        <w:ind w:left="720" w:hanging="72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nsid w:val="00000005"/>
    <w:multiLevelType w:val="multilevel"/>
    <w:tmpl w:val="0000000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7"/>
    <w:multiLevelType w:val="multilevel"/>
    <w:tmpl w:val="1196E4A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
    <w:nsid w:val="137A5891"/>
    <w:multiLevelType w:val="multilevel"/>
    <w:tmpl w:val="1C8ECB90"/>
    <w:lvl w:ilvl="0">
      <w:start w:val="1"/>
      <w:numFmt w:val="lowerLetter"/>
      <w:lvlText w:val="%1)"/>
      <w:lvlJc w:val="right"/>
      <w:pPr>
        <w:ind w:left="23" w:hanging="337"/>
      </w:pPr>
    </w:lvl>
    <w:lvl w:ilvl="1">
      <w:start w:val="1"/>
      <w:numFmt w:val="lowerLetter"/>
      <w:lvlText w:val="%2."/>
      <w:lvlJc w:val="left"/>
      <w:pPr>
        <w:ind w:left="743" w:firstLine="383"/>
      </w:pPr>
    </w:lvl>
    <w:lvl w:ilvl="2">
      <w:start w:val="1"/>
      <w:numFmt w:val="lowerRoman"/>
      <w:lvlText w:val="%3."/>
      <w:lvlJc w:val="right"/>
      <w:pPr>
        <w:ind w:left="1463" w:firstLine="1283"/>
      </w:pPr>
    </w:lvl>
    <w:lvl w:ilvl="3">
      <w:start w:val="1"/>
      <w:numFmt w:val="decimal"/>
      <w:lvlText w:val="%4."/>
      <w:lvlJc w:val="left"/>
      <w:pPr>
        <w:ind w:left="2183" w:firstLine="1823"/>
      </w:pPr>
    </w:lvl>
    <w:lvl w:ilvl="4">
      <w:start w:val="1"/>
      <w:numFmt w:val="lowerLetter"/>
      <w:lvlText w:val="%5."/>
      <w:lvlJc w:val="left"/>
      <w:pPr>
        <w:ind w:left="2903" w:firstLine="2543"/>
      </w:pPr>
    </w:lvl>
    <w:lvl w:ilvl="5">
      <w:start w:val="1"/>
      <w:numFmt w:val="lowerRoman"/>
      <w:lvlText w:val="%6."/>
      <w:lvlJc w:val="right"/>
      <w:pPr>
        <w:ind w:left="3623" w:firstLine="3443"/>
      </w:pPr>
    </w:lvl>
    <w:lvl w:ilvl="6">
      <w:start w:val="1"/>
      <w:numFmt w:val="decimal"/>
      <w:lvlText w:val="%7."/>
      <w:lvlJc w:val="left"/>
      <w:pPr>
        <w:ind w:left="4343" w:firstLine="3983"/>
      </w:pPr>
    </w:lvl>
    <w:lvl w:ilvl="7">
      <w:start w:val="1"/>
      <w:numFmt w:val="lowerLetter"/>
      <w:lvlText w:val="%8."/>
      <w:lvlJc w:val="left"/>
      <w:pPr>
        <w:ind w:left="5063" w:firstLine="4703"/>
      </w:pPr>
    </w:lvl>
    <w:lvl w:ilvl="8">
      <w:start w:val="1"/>
      <w:numFmt w:val="lowerRoman"/>
      <w:lvlText w:val="%9."/>
      <w:lvlJc w:val="right"/>
      <w:pPr>
        <w:ind w:left="5783" w:firstLine="5603"/>
      </w:pPr>
    </w:lvl>
  </w:abstractNum>
  <w:abstractNum w:abstractNumId="7">
    <w:nsid w:val="33335EBA"/>
    <w:multiLevelType w:val="hybridMultilevel"/>
    <w:tmpl w:val="CE82EE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35890BF4"/>
    <w:multiLevelType w:val="multilevel"/>
    <w:tmpl w:val="60202E1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9">
    <w:nsid w:val="396337D8"/>
    <w:multiLevelType w:val="hybridMultilevel"/>
    <w:tmpl w:val="F4C271E2"/>
    <w:lvl w:ilvl="0" w:tplc="04070001">
      <w:start w:val="1"/>
      <w:numFmt w:val="bullet"/>
      <w:lvlText w:val=""/>
      <w:lvlJc w:val="left"/>
      <w:pPr>
        <w:ind w:left="786" w:hanging="360"/>
      </w:pPr>
      <w:rPr>
        <w:rFonts w:ascii="Symbol" w:hAnsi="Symbol" w:hint="default"/>
      </w:rPr>
    </w:lvl>
    <w:lvl w:ilvl="1" w:tplc="04070001">
      <w:start w:val="1"/>
      <w:numFmt w:val="bullet"/>
      <w:lvlText w:val=""/>
      <w:lvlJc w:val="left"/>
      <w:pPr>
        <w:ind w:left="360" w:hanging="360"/>
      </w:pPr>
      <w:rPr>
        <w:rFonts w:ascii="Symbol" w:hAnsi="Symbol"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0">
    <w:nsid w:val="3AEB7888"/>
    <w:multiLevelType w:val="multilevel"/>
    <w:tmpl w:val="7D42BFCC"/>
    <w:lvl w:ilvl="0">
      <w:start w:val="1"/>
      <w:numFmt w:val="bullet"/>
      <w:lvlText w:val="●"/>
      <w:lvlJc w:val="left"/>
      <w:pPr>
        <w:ind w:left="0" w:firstLine="0"/>
      </w:pPr>
      <w:rPr>
        <w:rFonts w:ascii="Arial" w:eastAsia="Arial" w:hAnsi="Arial" w:cs="Arial"/>
        <w:u w:val="none"/>
      </w:rPr>
    </w:lvl>
    <w:lvl w:ilvl="1">
      <w:start w:val="1"/>
      <w:numFmt w:val="bullet"/>
      <w:lvlText w:val="○"/>
      <w:lvlJc w:val="left"/>
      <w:pPr>
        <w:ind w:left="0" w:firstLine="0"/>
      </w:pPr>
      <w:rPr>
        <w:rFonts w:ascii="Arial" w:eastAsia="Arial" w:hAnsi="Arial" w:cs="Arial"/>
        <w:u w:val="none"/>
      </w:rPr>
    </w:lvl>
    <w:lvl w:ilvl="2">
      <w:start w:val="1"/>
      <w:numFmt w:val="bullet"/>
      <w:lvlText w:val="■"/>
      <w:lvlJc w:val="left"/>
      <w:pPr>
        <w:ind w:left="0" w:firstLine="0"/>
      </w:pPr>
      <w:rPr>
        <w:rFonts w:ascii="Arial" w:eastAsia="Arial" w:hAnsi="Arial" w:cs="Arial"/>
        <w:u w:val="none"/>
      </w:rPr>
    </w:lvl>
    <w:lvl w:ilvl="3">
      <w:start w:val="1"/>
      <w:numFmt w:val="bullet"/>
      <w:lvlText w:val="●"/>
      <w:lvlJc w:val="left"/>
      <w:pPr>
        <w:ind w:left="0" w:firstLine="0"/>
      </w:pPr>
      <w:rPr>
        <w:rFonts w:ascii="Arial" w:eastAsia="Arial" w:hAnsi="Arial" w:cs="Arial"/>
        <w:u w:val="none"/>
      </w:rPr>
    </w:lvl>
    <w:lvl w:ilvl="4">
      <w:start w:val="1"/>
      <w:numFmt w:val="bullet"/>
      <w:lvlText w:val="○"/>
      <w:lvlJc w:val="left"/>
      <w:pPr>
        <w:ind w:left="0" w:firstLine="0"/>
      </w:pPr>
      <w:rPr>
        <w:rFonts w:ascii="Arial" w:eastAsia="Arial" w:hAnsi="Arial" w:cs="Arial"/>
        <w:u w:val="none"/>
      </w:rPr>
    </w:lvl>
    <w:lvl w:ilvl="5">
      <w:start w:val="1"/>
      <w:numFmt w:val="bullet"/>
      <w:lvlText w:val="■"/>
      <w:lvlJc w:val="left"/>
      <w:pPr>
        <w:ind w:left="0" w:firstLine="0"/>
      </w:pPr>
      <w:rPr>
        <w:rFonts w:ascii="Arial" w:eastAsia="Arial" w:hAnsi="Arial" w:cs="Arial"/>
        <w:u w:val="none"/>
      </w:rPr>
    </w:lvl>
    <w:lvl w:ilvl="6">
      <w:start w:val="1"/>
      <w:numFmt w:val="bullet"/>
      <w:lvlText w:val="●"/>
      <w:lvlJc w:val="left"/>
      <w:pPr>
        <w:ind w:left="0" w:firstLine="0"/>
      </w:pPr>
      <w:rPr>
        <w:rFonts w:ascii="Arial" w:eastAsia="Arial" w:hAnsi="Arial" w:cs="Arial"/>
        <w:u w:val="none"/>
      </w:rPr>
    </w:lvl>
    <w:lvl w:ilvl="7">
      <w:start w:val="1"/>
      <w:numFmt w:val="bullet"/>
      <w:lvlText w:val="○"/>
      <w:lvlJc w:val="left"/>
      <w:pPr>
        <w:ind w:left="0" w:firstLine="0"/>
      </w:pPr>
      <w:rPr>
        <w:rFonts w:ascii="Arial" w:eastAsia="Arial" w:hAnsi="Arial" w:cs="Arial"/>
        <w:u w:val="none"/>
      </w:rPr>
    </w:lvl>
    <w:lvl w:ilvl="8">
      <w:start w:val="1"/>
      <w:numFmt w:val="bullet"/>
      <w:lvlText w:val="■"/>
      <w:lvlJc w:val="left"/>
      <w:pPr>
        <w:ind w:left="0" w:firstLine="0"/>
      </w:pPr>
      <w:rPr>
        <w:rFonts w:ascii="Arial" w:eastAsia="Arial" w:hAnsi="Arial" w:cs="Arial"/>
        <w:u w:val="none"/>
      </w:rPr>
    </w:lvl>
  </w:abstractNum>
  <w:abstractNum w:abstractNumId="11">
    <w:nsid w:val="502847FF"/>
    <w:multiLevelType w:val="multilevel"/>
    <w:tmpl w:val="93907CF0"/>
    <w:lvl w:ilvl="0">
      <w:start w:val="1"/>
      <w:numFmt w:val="bullet"/>
      <w:lvlText w:val="●"/>
      <w:lvlJc w:val="left"/>
      <w:pPr>
        <w:ind w:left="0" w:firstLine="0"/>
      </w:pPr>
      <w:rPr>
        <w:rFonts w:ascii="Arial" w:eastAsia="Arial" w:hAnsi="Arial" w:cs="Arial"/>
        <w:u w:val="none"/>
      </w:rPr>
    </w:lvl>
    <w:lvl w:ilvl="1">
      <w:start w:val="1"/>
      <w:numFmt w:val="bullet"/>
      <w:lvlText w:val="○"/>
      <w:lvlJc w:val="left"/>
      <w:pPr>
        <w:ind w:left="0" w:firstLine="0"/>
      </w:pPr>
      <w:rPr>
        <w:rFonts w:ascii="Arial" w:eastAsia="Arial" w:hAnsi="Arial" w:cs="Arial"/>
        <w:u w:val="none"/>
      </w:rPr>
    </w:lvl>
    <w:lvl w:ilvl="2">
      <w:start w:val="1"/>
      <w:numFmt w:val="bullet"/>
      <w:lvlText w:val="■"/>
      <w:lvlJc w:val="left"/>
      <w:pPr>
        <w:ind w:left="0" w:firstLine="0"/>
      </w:pPr>
      <w:rPr>
        <w:rFonts w:ascii="Arial" w:eastAsia="Arial" w:hAnsi="Arial" w:cs="Arial"/>
        <w:u w:val="none"/>
      </w:rPr>
    </w:lvl>
    <w:lvl w:ilvl="3">
      <w:start w:val="1"/>
      <w:numFmt w:val="bullet"/>
      <w:lvlText w:val="●"/>
      <w:lvlJc w:val="left"/>
      <w:pPr>
        <w:ind w:left="0" w:firstLine="0"/>
      </w:pPr>
      <w:rPr>
        <w:rFonts w:ascii="Arial" w:eastAsia="Arial" w:hAnsi="Arial" w:cs="Arial"/>
        <w:u w:val="none"/>
      </w:rPr>
    </w:lvl>
    <w:lvl w:ilvl="4">
      <w:start w:val="1"/>
      <w:numFmt w:val="bullet"/>
      <w:lvlText w:val="○"/>
      <w:lvlJc w:val="left"/>
      <w:pPr>
        <w:ind w:left="0" w:firstLine="0"/>
      </w:pPr>
      <w:rPr>
        <w:rFonts w:ascii="Arial" w:eastAsia="Arial" w:hAnsi="Arial" w:cs="Arial"/>
        <w:u w:val="none"/>
      </w:rPr>
    </w:lvl>
    <w:lvl w:ilvl="5">
      <w:start w:val="1"/>
      <w:numFmt w:val="bullet"/>
      <w:lvlText w:val="■"/>
      <w:lvlJc w:val="left"/>
      <w:pPr>
        <w:ind w:left="0" w:firstLine="0"/>
      </w:pPr>
      <w:rPr>
        <w:rFonts w:ascii="Arial" w:eastAsia="Arial" w:hAnsi="Arial" w:cs="Arial"/>
        <w:u w:val="none"/>
      </w:rPr>
    </w:lvl>
    <w:lvl w:ilvl="6">
      <w:start w:val="1"/>
      <w:numFmt w:val="bullet"/>
      <w:lvlText w:val="●"/>
      <w:lvlJc w:val="left"/>
      <w:pPr>
        <w:ind w:left="0" w:firstLine="0"/>
      </w:pPr>
      <w:rPr>
        <w:rFonts w:ascii="Arial" w:eastAsia="Arial" w:hAnsi="Arial" w:cs="Arial"/>
        <w:u w:val="none"/>
      </w:rPr>
    </w:lvl>
    <w:lvl w:ilvl="7">
      <w:start w:val="1"/>
      <w:numFmt w:val="bullet"/>
      <w:lvlText w:val="○"/>
      <w:lvlJc w:val="left"/>
      <w:pPr>
        <w:ind w:left="0" w:firstLine="0"/>
      </w:pPr>
      <w:rPr>
        <w:rFonts w:ascii="Arial" w:eastAsia="Arial" w:hAnsi="Arial" w:cs="Arial"/>
        <w:u w:val="none"/>
      </w:rPr>
    </w:lvl>
    <w:lvl w:ilvl="8">
      <w:start w:val="1"/>
      <w:numFmt w:val="bullet"/>
      <w:lvlText w:val="■"/>
      <w:lvlJc w:val="left"/>
      <w:pPr>
        <w:ind w:left="0" w:firstLine="0"/>
      </w:pPr>
      <w:rPr>
        <w:rFonts w:ascii="Arial" w:eastAsia="Arial" w:hAnsi="Arial" w:cs="Arial"/>
        <w:u w:val="none"/>
      </w:rPr>
    </w:lvl>
  </w:abstractNum>
  <w:abstractNum w:abstractNumId="12">
    <w:nsid w:val="7A874F6F"/>
    <w:multiLevelType w:val="multilevel"/>
    <w:tmpl w:val="5052E49C"/>
    <w:lvl w:ilvl="0">
      <w:start w:val="1"/>
      <w:numFmt w:val="bullet"/>
      <w:lvlText w:val="●"/>
      <w:lvlJc w:val="left"/>
      <w:pPr>
        <w:ind w:left="0" w:firstLine="0"/>
      </w:pPr>
      <w:rPr>
        <w:rFonts w:ascii="Arial" w:eastAsia="Arial" w:hAnsi="Arial" w:cs="Arial"/>
        <w:u w:val="none"/>
      </w:rPr>
    </w:lvl>
    <w:lvl w:ilvl="1">
      <w:start w:val="1"/>
      <w:numFmt w:val="bullet"/>
      <w:lvlText w:val="○"/>
      <w:lvlJc w:val="left"/>
      <w:pPr>
        <w:ind w:left="0" w:firstLine="0"/>
      </w:pPr>
      <w:rPr>
        <w:rFonts w:ascii="Arial" w:eastAsia="Arial" w:hAnsi="Arial" w:cs="Arial"/>
        <w:u w:val="none"/>
      </w:rPr>
    </w:lvl>
    <w:lvl w:ilvl="2">
      <w:start w:val="1"/>
      <w:numFmt w:val="bullet"/>
      <w:lvlText w:val="■"/>
      <w:lvlJc w:val="left"/>
      <w:pPr>
        <w:ind w:left="0" w:firstLine="0"/>
      </w:pPr>
      <w:rPr>
        <w:rFonts w:ascii="Arial" w:eastAsia="Arial" w:hAnsi="Arial" w:cs="Arial"/>
        <w:u w:val="none"/>
      </w:rPr>
    </w:lvl>
    <w:lvl w:ilvl="3">
      <w:start w:val="1"/>
      <w:numFmt w:val="bullet"/>
      <w:lvlText w:val="●"/>
      <w:lvlJc w:val="left"/>
      <w:pPr>
        <w:ind w:left="0" w:firstLine="0"/>
      </w:pPr>
      <w:rPr>
        <w:rFonts w:ascii="Arial" w:eastAsia="Arial" w:hAnsi="Arial" w:cs="Arial"/>
        <w:u w:val="none"/>
      </w:rPr>
    </w:lvl>
    <w:lvl w:ilvl="4">
      <w:start w:val="1"/>
      <w:numFmt w:val="bullet"/>
      <w:lvlText w:val="○"/>
      <w:lvlJc w:val="left"/>
      <w:pPr>
        <w:ind w:left="0" w:firstLine="0"/>
      </w:pPr>
      <w:rPr>
        <w:rFonts w:ascii="Arial" w:eastAsia="Arial" w:hAnsi="Arial" w:cs="Arial"/>
        <w:u w:val="none"/>
      </w:rPr>
    </w:lvl>
    <w:lvl w:ilvl="5">
      <w:start w:val="1"/>
      <w:numFmt w:val="bullet"/>
      <w:lvlText w:val="■"/>
      <w:lvlJc w:val="left"/>
      <w:pPr>
        <w:ind w:left="0" w:firstLine="0"/>
      </w:pPr>
      <w:rPr>
        <w:rFonts w:ascii="Arial" w:eastAsia="Arial" w:hAnsi="Arial" w:cs="Arial"/>
        <w:u w:val="none"/>
      </w:rPr>
    </w:lvl>
    <w:lvl w:ilvl="6">
      <w:start w:val="1"/>
      <w:numFmt w:val="bullet"/>
      <w:lvlText w:val="●"/>
      <w:lvlJc w:val="left"/>
      <w:pPr>
        <w:ind w:left="0" w:firstLine="0"/>
      </w:pPr>
      <w:rPr>
        <w:rFonts w:ascii="Arial" w:eastAsia="Arial" w:hAnsi="Arial" w:cs="Arial"/>
        <w:u w:val="none"/>
      </w:rPr>
    </w:lvl>
    <w:lvl w:ilvl="7">
      <w:start w:val="1"/>
      <w:numFmt w:val="bullet"/>
      <w:lvlText w:val="○"/>
      <w:lvlJc w:val="left"/>
      <w:pPr>
        <w:ind w:left="0" w:firstLine="0"/>
      </w:pPr>
      <w:rPr>
        <w:rFonts w:ascii="Arial" w:eastAsia="Arial" w:hAnsi="Arial" w:cs="Arial"/>
        <w:u w:val="none"/>
      </w:rPr>
    </w:lvl>
    <w:lvl w:ilvl="8">
      <w:start w:val="1"/>
      <w:numFmt w:val="bullet"/>
      <w:lvlText w:val="■"/>
      <w:lvlJc w:val="left"/>
      <w:pPr>
        <w:ind w:left="0" w:firstLine="0"/>
      </w:pPr>
      <w:rPr>
        <w:rFonts w:ascii="Arial" w:eastAsia="Arial" w:hAnsi="Arial" w:cs="Arial"/>
        <w:u w:val="none"/>
      </w:rPr>
    </w:lvl>
  </w:abstractNum>
  <w:num w:numId="1">
    <w:abstractNumId w:val="10"/>
  </w:num>
  <w:num w:numId="2">
    <w:abstractNumId w:val="11"/>
  </w:num>
  <w:num w:numId="3">
    <w:abstractNumId w:val="8"/>
  </w:num>
  <w:num w:numId="4">
    <w:abstractNumId w:val="6"/>
  </w:num>
  <w:num w:numId="5">
    <w:abstractNumId w:val="12"/>
  </w:num>
  <w:num w:numId="6">
    <w:abstractNumId w:val="9"/>
  </w:num>
  <w:num w:numId="7">
    <w:abstractNumId w:val="0"/>
  </w:num>
  <w:num w:numId="8">
    <w:abstractNumId w:val="1"/>
  </w:num>
  <w:num w:numId="9">
    <w:abstractNumId w:val="2"/>
  </w:num>
  <w:num w:numId="10">
    <w:abstractNumId w:val="3"/>
  </w:num>
  <w:num w:numId="11">
    <w:abstractNumId w:val="4"/>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
  <w:rsids>
    <w:rsidRoot w:val="00324783"/>
    <w:rsid w:val="00194168"/>
    <w:rsid w:val="002819F4"/>
    <w:rsid w:val="0031369B"/>
    <w:rsid w:val="00324783"/>
    <w:rsid w:val="00482FDF"/>
    <w:rsid w:val="005D5ED5"/>
    <w:rsid w:val="006B1873"/>
    <w:rsid w:val="00847885"/>
    <w:rsid w:val="00915509"/>
    <w:rsid w:val="00926B5F"/>
    <w:rsid w:val="00B069C4"/>
    <w:rsid w:val="00B34348"/>
    <w:rsid w:val="00F90B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de-DE"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b/>
      <w:sz w:val="52"/>
      <w:szCs w:val="52"/>
    </w:rPr>
  </w:style>
  <w:style w:type="paragraph" w:styleId="Untertitel">
    <w:name w:val="Subtitle"/>
    <w:basedOn w:val="Standard"/>
    <w:next w:val="Standard"/>
    <w:pPr>
      <w:keepNext/>
      <w:keepLines/>
      <w:spacing w:after="320"/>
    </w:pPr>
    <w:rPr>
      <w:i/>
      <w:color w:val="666666"/>
      <w:sz w:val="30"/>
      <w:szCs w:val="30"/>
    </w:rPr>
  </w:style>
  <w:style w:type="paragraph" w:styleId="Sprechblasentext">
    <w:name w:val="Balloon Text"/>
    <w:basedOn w:val="Standard"/>
    <w:link w:val="SprechblasentextZchn"/>
    <w:uiPriority w:val="99"/>
    <w:semiHidden/>
    <w:unhideWhenUsed/>
    <w:rsid w:val="005D5ED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5ED5"/>
    <w:rPr>
      <w:rFonts w:ascii="Tahoma" w:hAnsi="Tahoma" w:cs="Tahoma"/>
      <w:sz w:val="16"/>
      <w:szCs w:val="16"/>
    </w:rPr>
  </w:style>
  <w:style w:type="paragraph" w:styleId="Kopfzeile">
    <w:name w:val="header"/>
    <w:basedOn w:val="Standard"/>
    <w:link w:val="KopfzeileZchn"/>
    <w:uiPriority w:val="99"/>
    <w:unhideWhenUsed/>
    <w:rsid w:val="005D5E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D5ED5"/>
  </w:style>
  <w:style w:type="paragraph" w:styleId="Fuzeile">
    <w:name w:val="footer"/>
    <w:basedOn w:val="Standard"/>
    <w:link w:val="FuzeileZchn"/>
    <w:uiPriority w:val="99"/>
    <w:unhideWhenUsed/>
    <w:rsid w:val="005D5ED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D5ED5"/>
  </w:style>
  <w:style w:type="character" w:styleId="Seitenzahl">
    <w:name w:val="page number"/>
    <w:basedOn w:val="Absatz-Standardschriftart"/>
    <w:semiHidden/>
    <w:unhideWhenUsed/>
    <w:rsid w:val="002819F4"/>
  </w:style>
  <w:style w:type="paragraph" w:customStyle="1" w:styleId="Listenabsatz1">
    <w:name w:val="Listenabsatz1"/>
    <w:basedOn w:val="Standard"/>
    <w:rsid w:val="002819F4"/>
    <w:pPr>
      <w:spacing w:after="200"/>
      <w:ind w:left="720"/>
      <w:contextualSpacing/>
    </w:pPr>
    <w:rPr>
      <w:rFonts w:ascii="Calibri" w:eastAsia="Times New Roman" w:hAnsi="Calibri" w:cs="Calibri"/>
      <w:color w:val="auto"/>
      <w:lang w:eastAsia="en-US"/>
    </w:rPr>
  </w:style>
  <w:style w:type="character" w:customStyle="1" w:styleId="Funotenzeichen1">
    <w:name w:val="Fußnotenzeichen1"/>
    <w:basedOn w:val="Absatz-Standardschriftart"/>
    <w:rsid w:val="00F90BD0"/>
    <w:rPr>
      <w:vertAlign w:val="superscript"/>
    </w:rPr>
  </w:style>
  <w:style w:type="character" w:styleId="Hyperlink">
    <w:name w:val="Hyperlink"/>
    <w:basedOn w:val="Absatz-Standardschriftart"/>
    <w:rsid w:val="00F90BD0"/>
    <w:rPr>
      <w:color w:val="0000FF"/>
      <w:u w:val="single"/>
    </w:rPr>
  </w:style>
  <w:style w:type="character" w:customStyle="1" w:styleId="Funotenzeichen10">
    <w:name w:val="Fußnotenzeichen1"/>
    <w:rsid w:val="00F90BD0"/>
  </w:style>
  <w:style w:type="paragraph" w:customStyle="1" w:styleId="Funotentext1">
    <w:name w:val="Fußnotentext1"/>
    <w:basedOn w:val="Standard"/>
    <w:rsid w:val="00F90BD0"/>
    <w:pPr>
      <w:suppressAutoHyphens/>
      <w:spacing w:line="100" w:lineRule="atLeast"/>
    </w:pPr>
    <w:rPr>
      <w:rFonts w:eastAsia="Times New Roman" w:cs="font302"/>
      <w:color w:val="auto"/>
      <w:sz w:val="20"/>
      <w:szCs w:val="20"/>
      <w:lang w:eastAsia="ar-SA"/>
    </w:rPr>
  </w:style>
  <w:style w:type="paragraph" w:styleId="Listenabsatz">
    <w:name w:val="List Paragraph"/>
    <w:basedOn w:val="Standard"/>
    <w:uiPriority w:val="34"/>
    <w:qFormat/>
    <w:rsid w:val="006B18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de-DE"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b/>
      <w:sz w:val="52"/>
      <w:szCs w:val="52"/>
    </w:rPr>
  </w:style>
  <w:style w:type="paragraph" w:styleId="Untertitel">
    <w:name w:val="Subtitle"/>
    <w:basedOn w:val="Standard"/>
    <w:next w:val="Standard"/>
    <w:pPr>
      <w:keepNext/>
      <w:keepLines/>
      <w:spacing w:after="320"/>
    </w:pPr>
    <w:rPr>
      <w:i/>
      <w:color w:val="666666"/>
      <w:sz w:val="30"/>
      <w:szCs w:val="30"/>
    </w:rPr>
  </w:style>
  <w:style w:type="paragraph" w:styleId="Sprechblasentext">
    <w:name w:val="Balloon Text"/>
    <w:basedOn w:val="Standard"/>
    <w:link w:val="SprechblasentextZchn"/>
    <w:uiPriority w:val="99"/>
    <w:semiHidden/>
    <w:unhideWhenUsed/>
    <w:rsid w:val="005D5ED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5ED5"/>
    <w:rPr>
      <w:rFonts w:ascii="Tahoma" w:hAnsi="Tahoma" w:cs="Tahoma"/>
      <w:sz w:val="16"/>
      <w:szCs w:val="16"/>
    </w:rPr>
  </w:style>
  <w:style w:type="paragraph" w:styleId="Kopfzeile">
    <w:name w:val="header"/>
    <w:basedOn w:val="Standard"/>
    <w:link w:val="KopfzeileZchn"/>
    <w:uiPriority w:val="99"/>
    <w:unhideWhenUsed/>
    <w:rsid w:val="005D5E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D5ED5"/>
  </w:style>
  <w:style w:type="paragraph" w:styleId="Fuzeile">
    <w:name w:val="footer"/>
    <w:basedOn w:val="Standard"/>
    <w:link w:val="FuzeileZchn"/>
    <w:uiPriority w:val="99"/>
    <w:unhideWhenUsed/>
    <w:rsid w:val="005D5ED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D5ED5"/>
  </w:style>
  <w:style w:type="character" w:styleId="Seitenzahl">
    <w:name w:val="page number"/>
    <w:basedOn w:val="Absatz-Standardschriftart"/>
    <w:semiHidden/>
    <w:unhideWhenUsed/>
    <w:rsid w:val="002819F4"/>
  </w:style>
  <w:style w:type="paragraph" w:customStyle="1" w:styleId="Listenabsatz1">
    <w:name w:val="Listenabsatz1"/>
    <w:basedOn w:val="Standard"/>
    <w:rsid w:val="002819F4"/>
    <w:pPr>
      <w:spacing w:after="200"/>
      <w:ind w:left="720"/>
      <w:contextualSpacing/>
    </w:pPr>
    <w:rPr>
      <w:rFonts w:ascii="Calibri" w:eastAsia="Times New Roman" w:hAnsi="Calibri" w:cs="Calibri"/>
      <w:color w:val="auto"/>
      <w:lang w:eastAsia="en-US"/>
    </w:rPr>
  </w:style>
  <w:style w:type="character" w:customStyle="1" w:styleId="Funotenzeichen1">
    <w:name w:val="Fußnotenzeichen1"/>
    <w:basedOn w:val="Absatz-Standardschriftart"/>
    <w:rsid w:val="00F90BD0"/>
    <w:rPr>
      <w:vertAlign w:val="superscript"/>
    </w:rPr>
  </w:style>
  <w:style w:type="character" w:styleId="Hyperlink">
    <w:name w:val="Hyperlink"/>
    <w:basedOn w:val="Absatz-Standardschriftart"/>
    <w:rsid w:val="00F90BD0"/>
    <w:rPr>
      <w:color w:val="0000FF"/>
      <w:u w:val="single"/>
    </w:rPr>
  </w:style>
  <w:style w:type="character" w:customStyle="1" w:styleId="Funotenzeichen10">
    <w:name w:val="Fußnotenzeichen1"/>
    <w:rsid w:val="00F90BD0"/>
  </w:style>
  <w:style w:type="paragraph" w:customStyle="1" w:styleId="Funotentext1">
    <w:name w:val="Fußnotentext1"/>
    <w:basedOn w:val="Standard"/>
    <w:rsid w:val="00F90BD0"/>
    <w:pPr>
      <w:suppressAutoHyphens/>
      <w:spacing w:line="100" w:lineRule="atLeast"/>
    </w:pPr>
    <w:rPr>
      <w:rFonts w:eastAsia="Times New Roman" w:cs="font302"/>
      <w:color w:val="auto"/>
      <w:sz w:val="20"/>
      <w:szCs w:val="20"/>
      <w:lang w:eastAsia="ar-SA"/>
    </w:rPr>
  </w:style>
  <w:style w:type="paragraph" w:styleId="Listenabsatz">
    <w:name w:val="List Paragraph"/>
    <w:basedOn w:val="Standard"/>
    <w:uiPriority w:val="34"/>
    <w:qFormat/>
    <w:rsid w:val="006B1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mz.de/de/was_wir_machen/themen/geri/ueber_geri/geri_programm/index.html" TargetMode="External"/><Relationship Id="rId4" Type="http://schemas.microsoft.com/office/2007/relationships/stylesWithEffects" Target="stylesWithEffects.xml"/><Relationship Id="rId9" Type="http://schemas.openxmlformats.org/officeDocument/2006/relationships/hyperlink" Target="http://www.negotiationsupport.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bmz.de/de/presse/aktuelleMeldungen/2014/juni/140617_G7-setzen-sich-fuer-faire-Rohstoffvertraege-ein-Start-der-CONNEX-Initiative/index.html" TargetMode="External"/><Relationship Id="rId3" Type="http://schemas.openxmlformats.org/officeDocument/2006/relationships/hyperlink" Target="http://www.opengovpartnership.org/how-it-works/how-join" TargetMode="External"/><Relationship Id="rId7" Type="http://schemas.openxmlformats.org/officeDocument/2006/relationships/hyperlink" Target="http://www.bundesregierung.de/Content/DE/_Anlagen/2013/2013-12-17-koalitionsvertrag.pdf;jsessionid=62AA9D1E774D3B7B4B0F2ADE307C80C5.s1t2?__blob=publicationFile&amp;v=2" TargetMode="External"/><Relationship Id="rId2" Type="http://schemas.openxmlformats.org/officeDocument/2006/relationships/hyperlink" Target="http://www.open-contracting.org/walking_the_g8s_talk_on_open_contracting" TargetMode="External"/><Relationship Id="rId1" Type="http://schemas.openxmlformats.org/officeDocument/2006/relationships/hyperlink" Target="http://www.open-contracting.org/global_principles" TargetMode="External"/><Relationship Id="rId6" Type="http://schemas.openxmlformats.org/officeDocument/2006/relationships/hyperlink" Target="http://www.opengovpartnership.org/how-it-works/eligibility-criteria" TargetMode="External"/><Relationship Id="rId5" Type="http://schemas.openxmlformats.org/officeDocument/2006/relationships/hyperlink" Target="http://www.opengovpartnership.org/independent-reporting-mechanism" TargetMode="External"/><Relationship Id="rId4" Type="http://schemas.openxmlformats.org/officeDocument/2006/relationships/hyperlink" Target="http://www.opengovpartnership.org/how-it-works/civil-society-dialog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864B5-9652-4FB7-BD96-01113BAB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2033</Words>
  <Characters>12809</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GIZ GmbH</Company>
  <LinksUpToDate>false</LinksUpToDate>
  <CharactersWithSpaces>14813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 Killiches</dc:creator>
  <cp:lastModifiedBy>Johanna Beate Wysluch</cp:lastModifiedBy>
  <cp:revision>2</cp:revision>
  <dcterms:created xsi:type="dcterms:W3CDTF">2016-07-06T16:46:00Z</dcterms:created>
  <dcterms:modified xsi:type="dcterms:W3CDTF">2016-07-06T16:46:00Z</dcterms:modified>
</cp:coreProperties>
</file>