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EE01" w14:textId="48CD4DCE" w:rsidR="00CB6B27" w:rsidRPr="00A86D63" w:rsidRDefault="00CB6B27" w:rsidP="00A86D63">
      <w:pPr>
        <w:pStyle w:val="berschrift1"/>
        <w:rPr>
          <w:color w:val="FF0000"/>
        </w:rPr>
      </w:pPr>
      <w:r w:rsidRPr="00A86D63">
        <w:rPr>
          <w:color w:val="FF0000"/>
        </w:rPr>
        <w:t xml:space="preserve">Entwurf der AG Verbrauchsteuern, Kapitel </w:t>
      </w:r>
      <w:r w:rsidRPr="00A86D63">
        <w:rPr>
          <w:color w:val="FF0000"/>
        </w:rPr>
        <w:t>4</w:t>
      </w:r>
      <w:r w:rsidRPr="00A86D63">
        <w:rPr>
          <w:color w:val="FF0000"/>
        </w:rPr>
        <w:t xml:space="preserve"> D-EITI Bericht </w:t>
      </w:r>
    </w:p>
    <w:p w14:paraId="50C16614" w14:textId="4E00B2F4" w:rsidR="00CB6B27" w:rsidRDefault="00CB6B27" w:rsidP="00CB6B27">
      <w:pPr>
        <w:autoSpaceDE w:val="0"/>
        <w:autoSpaceDN w:val="0"/>
        <w:adjustRightInd w:val="0"/>
        <w:rPr>
          <w:rFonts w:ascii="Arial" w:hAnsi="Arial"/>
          <w:b/>
        </w:rPr>
      </w:pPr>
    </w:p>
    <w:p w14:paraId="0BDE1E73" w14:textId="6691E6FC" w:rsidR="00CB6B27" w:rsidRPr="00A86D63" w:rsidRDefault="00CB6B27" w:rsidP="00A86D63">
      <w:pPr>
        <w:pStyle w:val="berschrift1"/>
        <w:numPr>
          <w:ilvl w:val="0"/>
          <w:numId w:val="13"/>
        </w:numPr>
        <w:ind w:left="0" w:firstLine="0"/>
        <w:rPr>
          <w:rFonts w:asciiTheme="majorHAnsi" w:hAnsiTheme="majorHAnsi"/>
          <w:color w:val="365F91" w:themeColor="accent1" w:themeShade="BF"/>
        </w:rPr>
      </w:pPr>
      <w:r w:rsidRPr="00A86D63">
        <w:rPr>
          <w:rFonts w:asciiTheme="majorHAnsi" w:hAnsiTheme="majorHAnsi"/>
          <w:color w:val="365F91" w:themeColor="accent1" w:themeShade="BF"/>
        </w:rPr>
        <w:t>Einn</w:t>
      </w:r>
      <w:bookmarkStart w:id="0" w:name="_GoBack"/>
      <w:bookmarkEnd w:id="0"/>
      <w:r w:rsidRPr="00A86D63">
        <w:rPr>
          <w:rFonts w:asciiTheme="majorHAnsi" w:hAnsiTheme="majorHAnsi"/>
          <w:color w:val="365F91" w:themeColor="accent1" w:themeShade="BF"/>
        </w:rPr>
        <w:t>ahmen aus der rohstoffgewinnenden Industrie</w:t>
      </w:r>
    </w:p>
    <w:p w14:paraId="6371E347" w14:textId="69DBA6AF" w:rsidR="00CB6B27" w:rsidRDefault="00CB6B27" w:rsidP="00CB6B27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…</w:t>
      </w:r>
    </w:p>
    <w:p w14:paraId="4B9964AB" w14:textId="77777777" w:rsidR="00CB6B27" w:rsidRDefault="00CB6B27" w:rsidP="00CB6B27">
      <w:pPr>
        <w:autoSpaceDE w:val="0"/>
        <w:autoSpaceDN w:val="0"/>
        <w:adjustRightInd w:val="0"/>
        <w:rPr>
          <w:rFonts w:ascii="Arial" w:hAnsi="Arial"/>
          <w:b/>
        </w:rPr>
      </w:pPr>
    </w:p>
    <w:p w14:paraId="3BC8A100" w14:textId="093FE458" w:rsidR="0017344B" w:rsidRPr="00A86D63" w:rsidRDefault="00CB6B27" w:rsidP="00A86D63">
      <w:pPr>
        <w:spacing w:line="240" w:lineRule="auto"/>
        <w:jc w:val="left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  <w:u w:val="single"/>
        </w:rPr>
      </w:pPr>
      <w:r w:rsidRPr="00A86D6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  <w:u w:val="single"/>
        </w:rPr>
        <w:t xml:space="preserve">4bV </w:t>
      </w:r>
      <w:r w:rsidR="0017344B" w:rsidRPr="00A86D6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  <w:u w:val="single"/>
        </w:rPr>
        <w:t>Verbrauchsteuern</w:t>
      </w:r>
    </w:p>
    <w:p w14:paraId="1AD54A1B" w14:textId="4B549F7B" w:rsidR="00A533CA" w:rsidRDefault="00947671" w:rsidP="007645B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 Rahmen der Verbrauchsteuern sind für Unternehmen des Rohstoffsektors besonders die Energie- und die Stromsteuer relevant.</w:t>
      </w:r>
      <w:r w:rsidR="0017344B">
        <w:rPr>
          <w:rFonts w:ascii="Arial" w:hAnsi="Arial" w:cs="Arial"/>
          <w:color w:val="000000" w:themeColor="text1"/>
        </w:rPr>
        <w:t xml:space="preserve"> </w:t>
      </w:r>
    </w:p>
    <w:p w14:paraId="03889DC4" w14:textId="7266104A" w:rsidR="00A533CA" w:rsidRDefault="00A533CA" w:rsidP="007645B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F27FF">
        <w:rPr>
          <w:rFonts w:ascii="Arial" w:hAnsi="Arial" w:cs="Arial"/>
          <w:color w:val="000000" w:themeColor="text1"/>
        </w:rPr>
        <w:t xml:space="preserve">Energie- und Stromsteuer sind wie die anderen Verbrauchsteuern explizit aus </w:t>
      </w:r>
      <w:r w:rsidR="00AB5234">
        <w:rPr>
          <w:rFonts w:ascii="Arial" w:hAnsi="Arial" w:cs="Arial"/>
          <w:color w:val="000000" w:themeColor="text1"/>
        </w:rPr>
        <w:t xml:space="preserve">der </w:t>
      </w:r>
      <w:r w:rsidRPr="004F27FF">
        <w:rPr>
          <w:rFonts w:ascii="Arial" w:hAnsi="Arial" w:cs="Arial"/>
          <w:color w:val="000000" w:themeColor="text1"/>
        </w:rPr>
        <w:t>Berichtspflicht im Rahmen des handel</w:t>
      </w:r>
      <w:r w:rsidR="007B005D">
        <w:rPr>
          <w:rFonts w:ascii="Arial" w:hAnsi="Arial" w:cs="Arial"/>
          <w:color w:val="000000" w:themeColor="text1"/>
        </w:rPr>
        <w:t>srechtlichen (Konzern-)Zahlungs</w:t>
      </w:r>
      <w:r w:rsidRPr="004F27FF">
        <w:rPr>
          <w:rFonts w:ascii="Arial" w:hAnsi="Arial" w:cs="Arial"/>
          <w:color w:val="000000" w:themeColor="text1"/>
        </w:rPr>
        <w:t>bericht</w:t>
      </w:r>
      <w:r>
        <w:rPr>
          <w:rFonts w:ascii="Arial" w:hAnsi="Arial" w:cs="Arial"/>
          <w:color w:val="000000" w:themeColor="text1"/>
        </w:rPr>
        <w:t>s</w:t>
      </w:r>
      <w:r w:rsidRPr="004F27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nach EU-Bilanzrichtlinie und deren Umsetzung in § 341r Abs. 3 b) HGB </w:t>
      </w:r>
      <w:r w:rsidRPr="004F27FF">
        <w:rPr>
          <w:rFonts w:ascii="Arial" w:hAnsi="Arial" w:cs="Arial"/>
          <w:color w:val="000000" w:themeColor="text1"/>
        </w:rPr>
        <w:t>ausgenommen</w:t>
      </w:r>
      <w:r>
        <w:rPr>
          <w:rFonts w:ascii="Arial" w:hAnsi="Arial" w:cs="Arial"/>
          <w:color w:val="000000" w:themeColor="text1"/>
        </w:rPr>
        <w:t>.</w:t>
      </w:r>
    </w:p>
    <w:p w14:paraId="2B192545" w14:textId="7835B2D2" w:rsidR="0017344B" w:rsidRDefault="00947671" w:rsidP="0017344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Das Energie- und das Stromsteuergesetz beruhen auf den </w:t>
      </w:r>
      <w:r w:rsidR="00EA368B">
        <w:rPr>
          <w:rFonts w:ascii="Arial" w:hAnsi="Arial" w:cs="Arial"/>
          <w:color w:val="000000" w:themeColor="text1"/>
        </w:rPr>
        <w:t xml:space="preserve">harmonisierten </w:t>
      </w:r>
      <w:r>
        <w:rPr>
          <w:rFonts w:ascii="Arial" w:hAnsi="Arial" w:cs="Arial"/>
          <w:color w:val="000000" w:themeColor="text1"/>
        </w:rPr>
        <w:t>Vorgaben der EU-</w:t>
      </w:r>
      <w:r w:rsidRPr="004F27FF">
        <w:rPr>
          <w:rFonts w:ascii="Arial" w:hAnsi="Arial" w:cs="Arial"/>
          <w:color w:val="000000" w:themeColor="text1"/>
        </w:rPr>
        <w:t xml:space="preserve">Energiesteuerrichtlinie (RL 2003/96/EG </w:t>
      </w:r>
      <w:r>
        <w:rPr>
          <w:rFonts w:ascii="Arial" w:hAnsi="Arial" w:cs="Arial"/>
          <w:color w:val="000000" w:themeColor="text1"/>
        </w:rPr>
        <w:t xml:space="preserve">des Rates v. 27.10.2003, </w:t>
      </w:r>
      <w:proofErr w:type="spellStart"/>
      <w:r>
        <w:rPr>
          <w:rFonts w:ascii="Arial" w:hAnsi="Arial" w:cs="Arial"/>
          <w:color w:val="000000" w:themeColor="text1"/>
        </w:rPr>
        <w:t>ABl.</w:t>
      </w:r>
      <w:proofErr w:type="spellEnd"/>
      <w:r>
        <w:rPr>
          <w:rFonts w:ascii="Arial" w:hAnsi="Arial" w:cs="Arial"/>
          <w:color w:val="000000" w:themeColor="text1"/>
        </w:rPr>
        <w:t xml:space="preserve"> EU</w:t>
      </w:r>
      <w:r w:rsidRPr="004F27FF">
        <w:rPr>
          <w:rFonts w:ascii="Arial" w:hAnsi="Arial" w:cs="Arial"/>
          <w:color w:val="000000" w:themeColor="text1"/>
        </w:rPr>
        <w:t xml:space="preserve"> Nr. L 283</w:t>
      </w:r>
      <w:r>
        <w:rPr>
          <w:rFonts w:ascii="Arial" w:hAnsi="Arial" w:cs="Arial"/>
          <w:color w:val="000000" w:themeColor="text1"/>
        </w:rPr>
        <w:t>,</w:t>
      </w:r>
      <w:r w:rsidRPr="004F27FF">
        <w:rPr>
          <w:rFonts w:ascii="Arial" w:hAnsi="Arial" w:cs="Arial"/>
          <w:color w:val="000000" w:themeColor="text1"/>
        </w:rPr>
        <w:t xml:space="preserve"> S. 51</w:t>
      </w:r>
      <w:r>
        <w:rPr>
          <w:rFonts w:ascii="Arial" w:hAnsi="Arial" w:cs="Arial"/>
          <w:color w:val="000000" w:themeColor="text1"/>
        </w:rPr>
        <w:t xml:space="preserve">). </w:t>
      </w:r>
      <w:r w:rsidR="0017344B" w:rsidRPr="004F27FF">
        <w:rPr>
          <w:rFonts w:ascii="Arial" w:hAnsi="Arial" w:cs="Arial"/>
          <w:color w:val="000000" w:themeColor="text1"/>
        </w:rPr>
        <w:t>Im Rahmen des Gesetzes zum Einstieg in die ökologische Steuerreform wurde</w:t>
      </w:r>
      <w:r w:rsidR="00AB5234">
        <w:rPr>
          <w:rFonts w:ascii="Arial" w:hAnsi="Arial" w:cs="Arial"/>
          <w:color w:val="000000" w:themeColor="text1"/>
        </w:rPr>
        <w:t>n</w:t>
      </w:r>
      <w:r w:rsidR="0017344B" w:rsidRPr="004F27FF">
        <w:rPr>
          <w:rFonts w:ascii="Arial" w:hAnsi="Arial" w:cs="Arial"/>
          <w:color w:val="000000" w:themeColor="text1"/>
        </w:rPr>
        <w:t xml:space="preserve"> die Stromsteuer am 1.4.1999 in Deutschland eingeführt</w:t>
      </w:r>
      <w:r w:rsidR="00A82660">
        <w:rPr>
          <w:rFonts w:ascii="Arial" w:hAnsi="Arial" w:cs="Arial"/>
          <w:color w:val="000000" w:themeColor="text1"/>
        </w:rPr>
        <w:t xml:space="preserve"> und die Steuersätze der Energiesteuer (damals noch: Mineralölsteuer) stufenweise erhöht</w:t>
      </w:r>
      <w:r w:rsidR="0017344B" w:rsidRPr="004F27FF">
        <w:rPr>
          <w:rFonts w:ascii="Arial" w:hAnsi="Arial" w:cs="Arial"/>
          <w:color w:val="000000" w:themeColor="text1"/>
        </w:rPr>
        <w:t xml:space="preserve">. </w:t>
      </w:r>
      <w:r w:rsidR="00A82660">
        <w:rPr>
          <w:rFonts w:ascii="Arial" w:hAnsi="Arial" w:cs="Arial"/>
          <w:color w:val="000000" w:themeColor="text1"/>
        </w:rPr>
        <w:t>Damit</w:t>
      </w:r>
      <w:r w:rsidR="0017344B" w:rsidRPr="004F27FF">
        <w:rPr>
          <w:rFonts w:ascii="Arial" w:hAnsi="Arial" w:cs="Arial"/>
          <w:color w:val="000000" w:themeColor="text1"/>
        </w:rPr>
        <w:t xml:space="preserve"> </w:t>
      </w:r>
      <w:r w:rsidR="006A6492">
        <w:rPr>
          <w:rFonts w:ascii="Arial" w:hAnsi="Arial" w:cs="Arial"/>
          <w:color w:val="000000" w:themeColor="text1"/>
        </w:rPr>
        <w:t>wurden</w:t>
      </w:r>
      <w:r w:rsidR="006A6492" w:rsidRPr="004F27FF">
        <w:rPr>
          <w:rFonts w:ascii="Arial" w:hAnsi="Arial" w:cs="Arial"/>
          <w:color w:val="000000" w:themeColor="text1"/>
        </w:rPr>
        <w:t xml:space="preserve"> </w:t>
      </w:r>
      <w:r w:rsidR="0017344B" w:rsidRPr="004F27FF">
        <w:rPr>
          <w:rFonts w:ascii="Arial" w:hAnsi="Arial" w:cs="Arial"/>
          <w:color w:val="000000" w:themeColor="text1"/>
        </w:rPr>
        <w:t>Anreize geschaffen, den Energieverbrauch zu reduzieren und ressourcenschonende Produkte und Produktionsverfahren zu entwickeln.</w:t>
      </w:r>
    </w:p>
    <w:p w14:paraId="7EB7A353" w14:textId="77777777" w:rsidR="0017344B" w:rsidRDefault="0017344B" w:rsidP="0017344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F27FF">
        <w:rPr>
          <w:rFonts w:ascii="Arial" w:hAnsi="Arial" w:cs="Arial"/>
          <w:color w:val="000000" w:themeColor="text1"/>
        </w:rPr>
        <w:t xml:space="preserve">Die Rechtsgrundlagen für die Erhebung der Stromsteuer sind das Stromsteuer-gesetz und die Stromsteuer-Durchführungsverordnung. </w:t>
      </w:r>
      <w:r w:rsidR="00EB2368">
        <w:rPr>
          <w:rFonts w:ascii="Arial" w:hAnsi="Arial" w:cs="Arial"/>
          <w:color w:val="000000" w:themeColor="text1"/>
        </w:rPr>
        <w:t>Das</w:t>
      </w:r>
      <w:r w:rsidR="00EB2368" w:rsidRPr="00EB01CD">
        <w:rPr>
          <w:rFonts w:ascii="Arial" w:hAnsi="Arial" w:cs="Arial"/>
          <w:color w:val="000000" w:themeColor="text1"/>
        </w:rPr>
        <w:t xml:space="preserve"> </w:t>
      </w:r>
      <w:r w:rsidRPr="00EB01CD">
        <w:rPr>
          <w:rFonts w:ascii="Arial" w:hAnsi="Arial" w:cs="Arial"/>
          <w:color w:val="000000" w:themeColor="text1"/>
        </w:rPr>
        <w:t>Aufkommen</w:t>
      </w:r>
      <w:r w:rsidR="00EB2368">
        <w:rPr>
          <w:rFonts w:ascii="Arial" w:hAnsi="Arial" w:cs="Arial"/>
          <w:color w:val="000000" w:themeColor="text1"/>
        </w:rPr>
        <w:t xml:space="preserve"> der Stromsteuer</w:t>
      </w:r>
      <w:r w:rsidRPr="00EB01CD">
        <w:rPr>
          <w:rFonts w:ascii="Arial" w:hAnsi="Arial" w:cs="Arial"/>
          <w:color w:val="000000" w:themeColor="text1"/>
        </w:rPr>
        <w:t xml:space="preserve"> lag im Jahr 201</w:t>
      </w:r>
      <w:r>
        <w:rPr>
          <w:rFonts w:ascii="Arial" w:hAnsi="Arial" w:cs="Arial"/>
          <w:color w:val="000000" w:themeColor="text1"/>
        </w:rPr>
        <w:t>5</w:t>
      </w:r>
      <w:r w:rsidRPr="00EB01CD">
        <w:rPr>
          <w:rFonts w:ascii="Arial" w:hAnsi="Arial" w:cs="Arial"/>
          <w:color w:val="000000" w:themeColor="text1"/>
        </w:rPr>
        <w:t xml:space="preserve"> bei 6,6 Milliarden EUR</w:t>
      </w:r>
      <w:r>
        <w:rPr>
          <w:rFonts w:ascii="Arial" w:hAnsi="Arial" w:cs="Arial"/>
          <w:color w:val="000000" w:themeColor="text1"/>
        </w:rPr>
        <w:t>, welches dem Bund zusteht</w:t>
      </w:r>
      <w:r w:rsidRPr="00EB01CD">
        <w:rPr>
          <w:rFonts w:ascii="Arial" w:hAnsi="Arial" w:cs="Arial"/>
          <w:color w:val="000000" w:themeColor="text1"/>
        </w:rPr>
        <w:t>.</w:t>
      </w:r>
      <w:r w:rsidRPr="00342103">
        <w:rPr>
          <w:rFonts w:ascii="Arial" w:hAnsi="Arial" w:cs="Arial"/>
          <w:color w:val="000000" w:themeColor="text1"/>
        </w:rPr>
        <w:t xml:space="preserve"> </w:t>
      </w:r>
      <w:r w:rsidRPr="0017344B">
        <w:rPr>
          <w:rFonts w:ascii="Arial" w:hAnsi="Arial" w:cs="Arial"/>
          <w:color w:val="000000" w:themeColor="text1"/>
        </w:rPr>
        <w:t xml:space="preserve">Die Einnahmen aus der </w:t>
      </w:r>
      <w:r w:rsidR="006A6492">
        <w:rPr>
          <w:rFonts w:ascii="Arial" w:hAnsi="Arial" w:cs="Arial"/>
          <w:color w:val="000000" w:themeColor="text1"/>
        </w:rPr>
        <w:t>Stromsteuer und die im Zusammenhang mit der ökologischen Steuerreform erzielten Mehreinnahmen durch die höhere Besteuerung von Kraft- und Heizstoffen tragen dazu bei, die Sozialversicherungsbeiträge auf einem tragbaren Niveau zu halten.</w:t>
      </w:r>
      <w:r w:rsidR="006A6492" w:rsidRPr="0017344B">
        <w:rPr>
          <w:rFonts w:ascii="Arial" w:hAnsi="Arial" w:cs="Arial"/>
          <w:color w:val="000000" w:themeColor="text1"/>
        </w:rPr>
        <w:t xml:space="preserve"> </w:t>
      </w:r>
      <w:r w:rsidRPr="004F27FF">
        <w:rPr>
          <w:rFonts w:ascii="Arial" w:hAnsi="Arial" w:cs="Arial"/>
          <w:color w:val="000000" w:themeColor="text1"/>
        </w:rPr>
        <w:t>Die Verwaltung und Erhebung erfolgt durch die Zollverwaltung.</w:t>
      </w:r>
    </w:p>
    <w:p w14:paraId="6601B07E" w14:textId="43BE984E" w:rsidR="0017344B" w:rsidRDefault="0017344B" w:rsidP="0017344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F27FF">
        <w:rPr>
          <w:rFonts w:ascii="Arial" w:hAnsi="Arial" w:cs="Arial"/>
          <w:color w:val="000000" w:themeColor="text1"/>
        </w:rPr>
        <w:t xml:space="preserve">Die Stromsteuer </w:t>
      </w:r>
      <w:r w:rsidR="00EB2368">
        <w:rPr>
          <w:rFonts w:ascii="Arial" w:hAnsi="Arial" w:cs="Arial"/>
          <w:color w:val="000000" w:themeColor="text1"/>
        </w:rPr>
        <w:t>fällt beim Verbrauch an, wird</w:t>
      </w:r>
      <w:r w:rsidR="0078493E">
        <w:rPr>
          <w:rFonts w:ascii="Arial" w:hAnsi="Arial" w:cs="Arial"/>
          <w:color w:val="000000" w:themeColor="text1"/>
        </w:rPr>
        <w:t xml:space="preserve"> aber</w:t>
      </w:r>
      <w:r w:rsidR="00EB2368">
        <w:rPr>
          <w:rFonts w:ascii="Arial" w:hAnsi="Arial" w:cs="Arial"/>
          <w:color w:val="000000" w:themeColor="text1"/>
        </w:rPr>
        <w:t xml:space="preserve"> aus Praktikabilitätsgründen</w:t>
      </w:r>
      <w:r w:rsidR="00EB2368" w:rsidRPr="004F27FF">
        <w:rPr>
          <w:rFonts w:ascii="Arial" w:hAnsi="Arial" w:cs="Arial"/>
          <w:color w:val="000000" w:themeColor="text1"/>
        </w:rPr>
        <w:t xml:space="preserve"> </w:t>
      </w:r>
      <w:r w:rsidRPr="004F27FF">
        <w:rPr>
          <w:rFonts w:ascii="Arial" w:hAnsi="Arial" w:cs="Arial"/>
          <w:color w:val="000000" w:themeColor="text1"/>
        </w:rPr>
        <w:t xml:space="preserve">in der Regel </w:t>
      </w:r>
      <w:r w:rsidR="00EB2368">
        <w:rPr>
          <w:rFonts w:ascii="Arial" w:hAnsi="Arial" w:cs="Arial"/>
          <w:color w:val="000000" w:themeColor="text1"/>
        </w:rPr>
        <w:t xml:space="preserve">als indirekte Steuer </w:t>
      </w:r>
      <w:r w:rsidRPr="004F27FF">
        <w:rPr>
          <w:rFonts w:ascii="Arial" w:hAnsi="Arial" w:cs="Arial"/>
          <w:color w:val="000000" w:themeColor="text1"/>
        </w:rPr>
        <w:t>beim Versorger erhoben und über den Strompreis auf die Verbraucher abgewälzt. Damit werden</w:t>
      </w:r>
      <w:r>
        <w:rPr>
          <w:rFonts w:ascii="Arial" w:hAnsi="Arial" w:cs="Arial"/>
          <w:color w:val="000000" w:themeColor="text1"/>
        </w:rPr>
        <w:t xml:space="preserve"> </w:t>
      </w:r>
      <w:r w:rsidRPr="004F27FF">
        <w:rPr>
          <w:rFonts w:ascii="Arial" w:hAnsi="Arial" w:cs="Arial"/>
          <w:color w:val="000000" w:themeColor="text1"/>
        </w:rPr>
        <w:t xml:space="preserve">auch Unternehmen der Rohstoffindustrie </w:t>
      </w:r>
      <w:proofErr w:type="spellStart"/>
      <w:r w:rsidRPr="004F27FF">
        <w:rPr>
          <w:rFonts w:ascii="Arial" w:hAnsi="Arial" w:cs="Arial"/>
          <w:color w:val="000000" w:themeColor="text1"/>
        </w:rPr>
        <w:t>grds</w:t>
      </w:r>
      <w:proofErr w:type="spellEnd"/>
      <w:r w:rsidRPr="004F27FF">
        <w:rPr>
          <w:rFonts w:ascii="Arial" w:hAnsi="Arial" w:cs="Arial"/>
          <w:color w:val="000000" w:themeColor="text1"/>
        </w:rPr>
        <w:t xml:space="preserve">. mit Stromsteuer belastet. Der Regelsteuersatz beträgt 20,50 </w:t>
      </w:r>
      <w:r w:rsidR="00EA368B">
        <w:rPr>
          <w:rFonts w:ascii="Arial" w:hAnsi="Arial" w:cs="Arial"/>
          <w:color w:val="000000" w:themeColor="text1"/>
        </w:rPr>
        <w:t>EUR</w:t>
      </w:r>
      <w:r w:rsidR="00EA368B" w:rsidRPr="004F27FF">
        <w:rPr>
          <w:rFonts w:ascii="Arial" w:hAnsi="Arial" w:cs="Arial"/>
          <w:color w:val="000000" w:themeColor="text1"/>
        </w:rPr>
        <w:t xml:space="preserve"> </w:t>
      </w:r>
      <w:r w:rsidRPr="004F27FF">
        <w:rPr>
          <w:rFonts w:ascii="Arial" w:hAnsi="Arial" w:cs="Arial"/>
          <w:color w:val="000000" w:themeColor="text1"/>
        </w:rPr>
        <w:t xml:space="preserve">je Megawattstunde. </w:t>
      </w:r>
      <w:r w:rsidRPr="008B4595">
        <w:rPr>
          <w:rFonts w:ascii="Arial" w:hAnsi="Arial" w:cs="Arial"/>
          <w:color w:val="000000" w:themeColor="text1"/>
        </w:rPr>
        <w:t xml:space="preserve">Für verschiedene Zwecke </w:t>
      </w:r>
      <w:r w:rsidR="006A6492">
        <w:rPr>
          <w:rFonts w:ascii="Arial" w:hAnsi="Arial" w:cs="Arial"/>
          <w:color w:val="000000" w:themeColor="text1"/>
        </w:rPr>
        <w:t xml:space="preserve">wie </w:t>
      </w:r>
      <w:r w:rsidRPr="008B4595">
        <w:rPr>
          <w:rFonts w:ascii="Arial" w:hAnsi="Arial" w:cs="Arial"/>
          <w:color w:val="000000" w:themeColor="text1"/>
        </w:rPr>
        <w:t xml:space="preserve">z.B. </w:t>
      </w:r>
      <w:r w:rsidR="006A6492">
        <w:rPr>
          <w:rFonts w:ascii="Arial" w:hAnsi="Arial" w:cs="Arial"/>
          <w:color w:val="000000" w:themeColor="text1"/>
        </w:rPr>
        <w:t xml:space="preserve">Schienenbahnstrom kommen reduzierte </w:t>
      </w:r>
      <w:r w:rsidR="006A6492">
        <w:rPr>
          <w:rFonts w:ascii="Arial" w:hAnsi="Arial" w:cs="Arial"/>
          <w:color w:val="000000" w:themeColor="text1"/>
        </w:rPr>
        <w:lastRenderedPageBreak/>
        <w:t>Steuersätze in Betracht, während insbesondere das</w:t>
      </w:r>
      <w:r w:rsidRPr="008B4595">
        <w:rPr>
          <w:rFonts w:ascii="Arial" w:hAnsi="Arial" w:cs="Arial"/>
          <w:color w:val="000000" w:themeColor="text1"/>
        </w:rPr>
        <w:t xml:space="preserve"> </w:t>
      </w:r>
      <w:r w:rsidR="006A6492">
        <w:rPr>
          <w:rFonts w:ascii="Arial" w:hAnsi="Arial" w:cs="Arial"/>
          <w:color w:val="000000" w:themeColor="text1"/>
        </w:rPr>
        <w:t>P</w:t>
      </w:r>
      <w:r w:rsidRPr="008B4595">
        <w:rPr>
          <w:rFonts w:ascii="Arial" w:hAnsi="Arial" w:cs="Arial"/>
          <w:color w:val="000000" w:themeColor="text1"/>
        </w:rPr>
        <w:t>roduzierende</w:t>
      </w:r>
      <w:r w:rsidR="00414ED6">
        <w:rPr>
          <w:rFonts w:ascii="Arial" w:hAnsi="Arial" w:cs="Arial"/>
          <w:color w:val="000000" w:themeColor="text1"/>
        </w:rPr>
        <w:t xml:space="preserve"> Gewerbe</w:t>
      </w:r>
      <w:r w:rsidRPr="008B4595">
        <w:rPr>
          <w:rFonts w:ascii="Arial" w:hAnsi="Arial" w:cs="Arial"/>
          <w:color w:val="000000" w:themeColor="text1"/>
        </w:rPr>
        <w:t xml:space="preserve"> </w:t>
      </w:r>
      <w:r w:rsidR="006A6492">
        <w:rPr>
          <w:rFonts w:ascii="Arial" w:hAnsi="Arial" w:cs="Arial"/>
          <w:color w:val="000000" w:themeColor="text1"/>
        </w:rPr>
        <w:t xml:space="preserve">von Steuerentlastungen Gebrauch machen kann. </w:t>
      </w:r>
      <w:r w:rsidR="007645BB">
        <w:rPr>
          <w:rFonts w:ascii="Arial" w:hAnsi="Arial" w:cs="Arial"/>
          <w:color w:val="000000" w:themeColor="text1"/>
        </w:rPr>
        <w:t>[Querverweis zum Subventionskapitel].</w:t>
      </w:r>
    </w:p>
    <w:p w14:paraId="69DCD006" w14:textId="50AEAB7E" w:rsidR="00DF1E3B" w:rsidRDefault="0017344B" w:rsidP="00DF1E3B">
      <w:pPr>
        <w:rPr>
          <w:rFonts w:ascii="Arial" w:hAnsi="Arial" w:cs="Arial"/>
          <w:color w:val="000000" w:themeColor="text1"/>
        </w:rPr>
      </w:pPr>
      <w:r w:rsidRPr="0017344B">
        <w:rPr>
          <w:rFonts w:ascii="Arial" w:hAnsi="Arial" w:cs="Arial"/>
          <w:color w:val="000000" w:themeColor="text1"/>
        </w:rPr>
        <w:t xml:space="preserve">Die Energiesteuer ist eine bundesgesetzlich geregelte Verbrauchsteuer auf Energieerzeugnisse. Mit ihr wird die Verwendung </w:t>
      </w:r>
      <w:r w:rsidR="00EB2368">
        <w:rPr>
          <w:rFonts w:ascii="Arial" w:hAnsi="Arial" w:cs="Arial"/>
          <w:color w:val="000000" w:themeColor="text1"/>
        </w:rPr>
        <w:t>von</w:t>
      </w:r>
      <w:r w:rsidRPr="0017344B">
        <w:rPr>
          <w:rFonts w:ascii="Arial" w:hAnsi="Arial" w:cs="Arial"/>
          <w:color w:val="000000" w:themeColor="text1"/>
        </w:rPr>
        <w:t xml:space="preserve"> </w:t>
      </w:r>
      <w:r w:rsidR="00EB2368">
        <w:rPr>
          <w:rFonts w:ascii="Arial" w:hAnsi="Arial" w:cs="Arial"/>
          <w:color w:val="000000" w:themeColor="text1"/>
        </w:rPr>
        <w:t>Energieerzeugnissen</w:t>
      </w:r>
      <w:r w:rsidR="00EB2368" w:rsidRPr="0017344B">
        <w:rPr>
          <w:rFonts w:ascii="Arial" w:hAnsi="Arial" w:cs="Arial"/>
          <w:color w:val="000000" w:themeColor="text1"/>
        </w:rPr>
        <w:t xml:space="preserve"> </w:t>
      </w:r>
      <w:r w:rsidRPr="0017344B">
        <w:rPr>
          <w:rFonts w:ascii="Arial" w:hAnsi="Arial" w:cs="Arial"/>
          <w:color w:val="000000" w:themeColor="text1"/>
        </w:rPr>
        <w:t>als Kraft- oder Heizstoff</w:t>
      </w:r>
      <w:r w:rsidR="00EB2368">
        <w:rPr>
          <w:rFonts w:ascii="Arial" w:hAnsi="Arial" w:cs="Arial"/>
          <w:color w:val="000000" w:themeColor="text1"/>
        </w:rPr>
        <w:t>e</w:t>
      </w:r>
      <w:r w:rsidRPr="0017344B">
        <w:rPr>
          <w:rFonts w:ascii="Arial" w:hAnsi="Arial" w:cs="Arial"/>
          <w:color w:val="000000" w:themeColor="text1"/>
        </w:rPr>
        <w:t xml:space="preserve"> innerhalb des deutschen Steuergebiets besteuert. Als Energieerzeugnisse definiert das Energiesteuergesetz insbesondere Benzin, Dieselkraftstoff, leichtes und schweres Heizöl, Flüssiggas, Erdgas und Kohle sowie bei einer Bestimmung als Kraft- oder Heizstoff auch Biodiesel und Pflanzenöl</w:t>
      </w:r>
      <w:r w:rsidR="00EB2368">
        <w:rPr>
          <w:rFonts w:ascii="Arial" w:hAnsi="Arial" w:cs="Arial"/>
          <w:color w:val="000000" w:themeColor="text1"/>
        </w:rPr>
        <w:t xml:space="preserve"> und Energieerzeugnisse ähnlicher Beschaffenheit</w:t>
      </w:r>
      <w:r w:rsidRPr="0017344B">
        <w:rPr>
          <w:rFonts w:ascii="Arial" w:hAnsi="Arial" w:cs="Arial"/>
          <w:color w:val="000000" w:themeColor="text1"/>
        </w:rPr>
        <w:t>. Die Höhe der Steuer ist je nach Energieerzeugnis und Verwendungszweck unterschiedlich</w:t>
      </w:r>
      <w:r w:rsidR="00B55C8B">
        <w:rPr>
          <w:rFonts w:ascii="Arial" w:hAnsi="Arial" w:cs="Arial"/>
          <w:color w:val="000000" w:themeColor="text1"/>
        </w:rPr>
        <w:t xml:space="preserve"> und im </w:t>
      </w:r>
      <w:hyperlink r:id="rId8" w:history="1">
        <w:r w:rsidR="00B55C8B" w:rsidRPr="00C8668A">
          <w:rPr>
            <w:rStyle w:val="Hyperlink"/>
            <w:rFonts w:ascii="Arial" w:hAnsi="Arial" w:cs="Arial"/>
          </w:rPr>
          <w:t>Energiesteuergesetz</w:t>
        </w:r>
      </w:hyperlink>
      <w:r w:rsidR="00B55C8B">
        <w:rPr>
          <w:rFonts w:ascii="Arial" w:hAnsi="Arial" w:cs="Arial"/>
          <w:color w:val="000000" w:themeColor="text1"/>
        </w:rPr>
        <w:t xml:space="preserve"> geregelt</w:t>
      </w:r>
      <w:r w:rsidRPr="0017344B">
        <w:rPr>
          <w:rFonts w:ascii="Arial" w:hAnsi="Arial" w:cs="Arial"/>
          <w:color w:val="000000" w:themeColor="text1"/>
        </w:rPr>
        <w:t xml:space="preserve">. </w:t>
      </w:r>
      <w:r w:rsidR="00037DBD">
        <w:rPr>
          <w:rFonts w:ascii="Arial" w:hAnsi="Arial" w:cs="Arial"/>
          <w:color w:val="000000" w:themeColor="text1"/>
        </w:rPr>
        <w:t xml:space="preserve">Für bestimmte Energieerzeugnisse und Verwendungszwecke sind Steuerbegünstigungen im Energiesteuergesetz </w:t>
      </w:r>
      <w:r w:rsidR="00414ED6">
        <w:rPr>
          <w:rFonts w:ascii="Arial" w:hAnsi="Arial" w:cs="Arial"/>
          <w:color w:val="000000" w:themeColor="text1"/>
        </w:rPr>
        <w:t>normiert</w:t>
      </w:r>
      <w:r w:rsidR="00037DBD">
        <w:rPr>
          <w:rFonts w:ascii="Arial" w:hAnsi="Arial" w:cs="Arial"/>
          <w:color w:val="000000" w:themeColor="text1"/>
        </w:rPr>
        <w:t xml:space="preserve">. </w:t>
      </w:r>
      <w:r w:rsidR="007645BB">
        <w:rPr>
          <w:rFonts w:ascii="Arial" w:hAnsi="Arial" w:cs="Arial"/>
          <w:color w:val="000000" w:themeColor="text1"/>
        </w:rPr>
        <w:t xml:space="preserve">[Querverweis zum Subventionskapitel]. </w:t>
      </w:r>
      <w:r w:rsidRPr="0017344B">
        <w:rPr>
          <w:rFonts w:ascii="Arial" w:hAnsi="Arial" w:cs="Arial"/>
          <w:color w:val="000000" w:themeColor="text1"/>
        </w:rPr>
        <w:t>Die Energiesteuer wird ebenso wie die Stromsteuer von der Zollverwaltung erhoben und die Einnahmen fließen dem Bund zu.</w:t>
      </w:r>
      <w:r w:rsidR="00EB2368">
        <w:rPr>
          <w:rFonts w:ascii="Arial" w:hAnsi="Arial" w:cs="Arial"/>
          <w:color w:val="000000" w:themeColor="text1"/>
        </w:rPr>
        <w:t xml:space="preserve"> 2015 lag das Energiesteueraufkommen bei ca. </w:t>
      </w:r>
      <w:r w:rsidR="00681A1C">
        <w:rPr>
          <w:rFonts w:ascii="Arial" w:hAnsi="Arial" w:cs="Arial"/>
          <w:color w:val="000000" w:themeColor="text1"/>
        </w:rPr>
        <w:t>40,3</w:t>
      </w:r>
      <w:r w:rsidR="00EB2368">
        <w:rPr>
          <w:rFonts w:ascii="Arial" w:hAnsi="Arial" w:cs="Arial"/>
          <w:color w:val="000000" w:themeColor="text1"/>
        </w:rPr>
        <w:t xml:space="preserve"> Milliarden EUR</w:t>
      </w:r>
      <w:r w:rsidR="00947671">
        <w:rPr>
          <w:rFonts w:ascii="Arial" w:hAnsi="Arial" w:cs="Arial"/>
          <w:color w:val="000000" w:themeColor="text1"/>
        </w:rPr>
        <w:t>. Das Aufkommen aus</w:t>
      </w:r>
      <w:r w:rsidR="007645BB">
        <w:rPr>
          <w:rFonts w:ascii="Arial" w:hAnsi="Arial" w:cs="Arial"/>
          <w:color w:val="000000" w:themeColor="text1"/>
        </w:rPr>
        <w:t xml:space="preserve"> Energie</w:t>
      </w:r>
      <w:r w:rsidR="00947671">
        <w:rPr>
          <w:rFonts w:ascii="Arial" w:hAnsi="Arial" w:cs="Arial"/>
          <w:color w:val="000000" w:themeColor="text1"/>
        </w:rPr>
        <w:t>- und Strom</w:t>
      </w:r>
      <w:r w:rsidR="007645BB">
        <w:rPr>
          <w:rFonts w:ascii="Arial" w:hAnsi="Arial" w:cs="Arial"/>
          <w:color w:val="000000" w:themeColor="text1"/>
        </w:rPr>
        <w:t xml:space="preserve">steuer </w:t>
      </w:r>
      <w:r w:rsidR="00947671">
        <w:rPr>
          <w:rFonts w:ascii="Arial" w:hAnsi="Arial" w:cs="Arial"/>
          <w:color w:val="000000" w:themeColor="text1"/>
        </w:rPr>
        <w:t xml:space="preserve">stellt </w:t>
      </w:r>
      <w:r w:rsidR="007645BB">
        <w:rPr>
          <w:rFonts w:ascii="Arial" w:hAnsi="Arial" w:cs="Arial"/>
          <w:color w:val="000000" w:themeColor="text1"/>
        </w:rPr>
        <w:t>nach Einkommensteuer und Umsatzsteuer die drittgrößte Einnahmequelle des Bundes dar.</w:t>
      </w:r>
    </w:p>
    <w:p w14:paraId="572578DB" w14:textId="394F5859" w:rsidR="00DF1E3B" w:rsidRDefault="00B55C8B" w:rsidP="007645BB">
      <w:pPr>
        <w:rPr>
          <w:rFonts w:ascii="Arial" w:hAnsi="Arial" w:cs="Arial"/>
          <w:color w:val="000000" w:themeColor="text1"/>
        </w:rPr>
      </w:pPr>
      <w:r w:rsidRPr="006F5062">
        <w:rPr>
          <w:rFonts w:ascii="Arial" w:hAnsi="Arial" w:cs="Arial"/>
          <w:color w:val="000000" w:themeColor="text1"/>
        </w:rPr>
        <w:t>Der finanzielle Umfang der Strom- und Energiesteuerzahlungen von Unternehmen des Rohstoffsektors ist derzeit</w:t>
      </w:r>
      <w:r w:rsidR="001B6860">
        <w:rPr>
          <w:rFonts w:ascii="Arial" w:hAnsi="Arial" w:cs="Arial"/>
          <w:color w:val="000000" w:themeColor="text1"/>
        </w:rPr>
        <w:t>, wie auch der finanzielle Umfang der</w:t>
      </w:r>
      <w:r w:rsidRPr="006F5062">
        <w:rPr>
          <w:rFonts w:ascii="Arial" w:hAnsi="Arial" w:cs="Arial"/>
          <w:color w:val="000000" w:themeColor="text1"/>
        </w:rPr>
        <w:t xml:space="preserve"> </w:t>
      </w:r>
      <w:r w:rsidR="001B6860" w:rsidRPr="006F5062">
        <w:rPr>
          <w:rFonts w:ascii="Arial" w:hAnsi="Arial" w:cs="Arial"/>
          <w:color w:val="000000" w:themeColor="text1"/>
        </w:rPr>
        <w:t>Strom- und Energiesteuer</w:t>
      </w:r>
      <w:r w:rsidR="001B6860">
        <w:rPr>
          <w:rFonts w:ascii="Arial" w:hAnsi="Arial" w:cs="Arial"/>
          <w:color w:val="000000" w:themeColor="text1"/>
        </w:rPr>
        <w:t>begünstigungen</w:t>
      </w:r>
      <w:r w:rsidR="00836C96">
        <w:rPr>
          <w:rFonts w:ascii="Arial" w:hAnsi="Arial" w:cs="Arial"/>
          <w:color w:val="000000" w:themeColor="text1"/>
        </w:rPr>
        <w:t xml:space="preserve"> (siehe Kapitel 7)</w:t>
      </w:r>
      <w:r w:rsidR="001B6860">
        <w:rPr>
          <w:rFonts w:ascii="Arial" w:hAnsi="Arial" w:cs="Arial"/>
          <w:color w:val="000000" w:themeColor="text1"/>
        </w:rPr>
        <w:t xml:space="preserve">, </w:t>
      </w:r>
      <w:r w:rsidRPr="006F5062">
        <w:rPr>
          <w:rFonts w:ascii="Arial" w:hAnsi="Arial" w:cs="Arial"/>
          <w:color w:val="000000" w:themeColor="text1"/>
        </w:rPr>
        <w:t>nicht ohne unverhältnismäßig hohen bürokratischen Aufwand darstellbar, da entsprechende Statistiken, die nach einzelnen Wirtschaftssektoren unterscheiden, bislang nicht geführt werden</w:t>
      </w:r>
      <w:r w:rsidR="00032540">
        <w:rPr>
          <w:rStyle w:val="Funotenzeichen"/>
          <w:rFonts w:ascii="Arial" w:hAnsi="Arial" w:cs="Arial"/>
          <w:color w:val="000000" w:themeColor="text1"/>
        </w:rPr>
        <w:footnoteReference w:id="2"/>
      </w:r>
      <w:r w:rsidRPr="006F5062">
        <w:rPr>
          <w:rFonts w:ascii="Arial" w:hAnsi="Arial" w:cs="Arial"/>
          <w:color w:val="000000" w:themeColor="text1"/>
        </w:rPr>
        <w:t xml:space="preserve">. </w:t>
      </w:r>
    </w:p>
    <w:p w14:paraId="539A3B01" w14:textId="77777777" w:rsidR="00414ED6" w:rsidRPr="0017344B" w:rsidRDefault="00414ED6" w:rsidP="0017344B">
      <w:pPr>
        <w:rPr>
          <w:rFonts w:ascii="Arial" w:hAnsi="Arial" w:cs="Arial"/>
          <w:color w:val="000000" w:themeColor="text1"/>
        </w:rPr>
      </w:pPr>
    </w:p>
    <w:p w14:paraId="5ED68036" w14:textId="77777777" w:rsidR="0017344B" w:rsidRDefault="0017344B" w:rsidP="004E2733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6017234" w14:textId="77777777" w:rsidR="00112883" w:rsidRPr="0017344B" w:rsidRDefault="00112883" w:rsidP="0017344B">
      <w:pPr>
        <w:rPr>
          <w:rFonts w:ascii="Arial" w:hAnsi="Arial" w:cs="Arial"/>
          <w:color w:val="000000" w:themeColor="text1"/>
        </w:rPr>
      </w:pPr>
    </w:p>
    <w:sectPr w:rsidR="00112883" w:rsidRPr="0017344B" w:rsidSect="00112883">
      <w:headerReference w:type="default" r:id="rId9"/>
      <w:footerReference w:type="default" r:id="rId10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B09AA" w14:textId="77777777" w:rsidR="00963527" w:rsidRDefault="00963527" w:rsidP="00A637D0">
      <w:r>
        <w:separator/>
      </w:r>
    </w:p>
  </w:endnote>
  <w:endnote w:type="continuationSeparator" w:id="0">
    <w:p w14:paraId="3B2423BE" w14:textId="77777777" w:rsidR="00963527" w:rsidRDefault="00963527" w:rsidP="00A637D0">
      <w:r>
        <w:continuationSeparator/>
      </w:r>
    </w:p>
  </w:endnote>
  <w:endnote w:type="continuationNotice" w:id="1">
    <w:p w14:paraId="553CF8D6" w14:textId="77777777" w:rsidR="00963527" w:rsidRDefault="009635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625191" w14:paraId="58D75952" w14:textId="77777777" w:rsidTr="000F1C7E">
      <w:tc>
        <w:tcPr>
          <w:tcW w:w="1329" w:type="pct"/>
        </w:tcPr>
        <w:p w14:paraId="102E583D" w14:textId="712C1833" w:rsidR="00625191" w:rsidRDefault="00625191" w:rsidP="00625191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  <w:r w:rsidR="001B6982">
            <w:rPr>
              <w:sz w:val="18"/>
              <w:szCs w:val="18"/>
            </w:rPr>
            <w:t>9.6</w:t>
          </w:r>
          <w:r w:rsidR="00A4660E">
            <w:rPr>
              <w:sz w:val="18"/>
              <w:szCs w:val="18"/>
            </w:rPr>
            <w:t>.2017</w:t>
          </w:r>
        </w:p>
      </w:tc>
      <w:tc>
        <w:tcPr>
          <w:tcW w:w="2266" w:type="pct"/>
        </w:tcPr>
        <w:p w14:paraId="5CFBE7FC" w14:textId="77777777" w:rsidR="00625191" w:rsidRDefault="00625191" w:rsidP="00625191">
          <w:pPr>
            <w:pStyle w:val="Fuzeile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46FFA7DB" w14:textId="3A2C80F7" w:rsidR="00625191" w:rsidRDefault="000F1C7E" w:rsidP="00112883">
          <w:pPr>
            <w:pStyle w:val="Fuzeile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Seitenzahl"/>
              <w:sz w:val="18"/>
              <w:szCs w:val="18"/>
            </w:rPr>
            <w:t xml:space="preserve">Seite </w:t>
          </w:r>
          <w:r w:rsidR="00C177A6">
            <w:rPr>
              <w:rStyle w:val="Seitenzahl"/>
              <w:sz w:val="18"/>
              <w:szCs w:val="18"/>
            </w:rPr>
            <w:fldChar w:fldCharType="begin"/>
          </w:r>
          <w:r w:rsidR="005D500F">
            <w:rPr>
              <w:rStyle w:val="Seitenzahl"/>
              <w:sz w:val="18"/>
              <w:szCs w:val="18"/>
            </w:rPr>
            <w:instrText xml:space="preserve"> PAGE  </w:instrText>
          </w:r>
          <w:r w:rsidR="00C177A6">
            <w:rPr>
              <w:rStyle w:val="Seitenzahl"/>
              <w:sz w:val="18"/>
              <w:szCs w:val="18"/>
            </w:rPr>
            <w:fldChar w:fldCharType="separate"/>
          </w:r>
          <w:r w:rsidR="001C1405">
            <w:rPr>
              <w:rStyle w:val="Seitenzahl"/>
              <w:noProof/>
              <w:sz w:val="18"/>
              <w:szCs w:val="18"/>
            </w:rPr>
            <w:t>1</w:t>
          </w:r>
          <w:r w:rsidR="00C177A6">
            <w:rPr>
              <w:rStyle w:val="Seitenzahl"/>
              <w:sz w:val="18"/>
              <w:szCs w:val="18"/>
            </w:rPr>
            <w:fldChar w:fldCharType="end"/>
          </w:r>
        </w:p>
      </w:tc>
    </w:tr>
  </w:tbl>
  <w:p w14:paraId="588A73AF" w14:textId="77777777" w:rsidR="00625191" w:rsidRPr="00165E31" w:rsidRDefault="00625191" w:rsidP="00165E31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A167" w14:textId="77777777" w:rsidR="00963527" w:rsidRDefault="00963527" w:rsidP="00A637D0">
      <w:r>
        <w:separator/>
      </w:r>
    </w:p>
  </w:footnote>
  <w:footnote w:type="continuationSeparator" w:id="0">
    <w:p w14:paraId="0D066891" w14:textId="77777777" w:rsidR="00963527" w:rsidRDefault="00963527" w:rsidP="00A637D0">
      <w:r>
        <w:continuationSeparator/>
      </w:r>
    </w:p>
  </w:footnote>
  <w:footnote w:type="continuationNotice" w:id="1">
    <w:p w14:paraId="201FC330" w14:textId="77777777" w:rsidR="00963527" w:rsidRDefault="00963527">
      <w:pPr>
        <w:spacing w:line="240" w:lineRule="auto"/>
      </w:pPr>
    </w:p>
  </w:footnote>
  <w:footnote w:id="2">
    <w:p w14:paraId="33FD1118" w14:textId="49BBDD52" w:rsidR="00032540" w:rsidRPr="00032540" w:rsidRDefault="00032540" w:rsidP="0003254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2540">
        <w:rPr>
          <w:rStyle w:val="Funotenzeichen"/>
          <w:sz w:val="20"/>
          <w:szCs w:val="20"/>
        </w:rPr>
        <w:footnoteRef/>
      </w:r>
      <w:r w:rsidRPr="00032540">
        <w:rPr>
          <w:sz w:val="20"/>
          <w:szCs w:val="20"/>
        </w:rPr>
        <w:t xml:space="preserve"> </w:t>
      </w:r>
      <w:r w:rsidRPr="00032540">
        <w:rPr>
          <w:rFonts w:ascii="Arial" w:hAnsi="Arial" w:cs="Arial"/>
          <w:color w:val="000000" w:themeColor="text1"/>
          <w:sz w:val="20"/>
          <w:szCs w:val="20"/>
        </w:rPr>
        <w:t>In der MSG gab es keinen Konsens darüber, inwiefern die Energie- und Stromsteuerzahlungen zu den wesentlichen Zahlungsströmen gehören. Daher werden sie nicht in den Zahlungsabgleich aufgenommen.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25191" w14:paraId="1F906BE9" w14:textId="77777777" w:rsidTr="00625191">
      <w:tc>
        <w:tcPr>
          <w:tcW w:w="3497" w:type="pct"/>
        </w:tcPr>
        <w:p w14:paraId="608725E1" w14:textId="77777777" w:rsidR="00625191" w:rsidRPr="003F6EC9" w:rsidRDefault="00625191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</w:p>
      </w:tc>
      <w:tc>
        <w:tcPr>
          <w:tcW w:w="1503" w:type="pct"/>
        </w:tcPr>
        <w:p w14:paraId="3BC525A5" w14:textId="77777777" w:rsidR="003D1DF8" w:rsidRDefault="003D1DF8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 w:rsidRPr="0017344B">
            <w:rPr>
              <w:rFonts w:cs="Arial"/>
              <w:noProof/>
              <w:color w:val="000000" w:themeColor="text1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E9FE64A" wp14:editId="47527595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1800225" cy="302895"/>
                <wp:effectExtent l="0" t="0" r="9525" b="190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41FCEA" w14:textId="77777777" w:rsidR="00625191" w:rsidRPr="003D1DF8" w:rsidRDefault="003D1DF8" w:rsidP="004E2733">
          <w:pPr>
            <w:tabs>
              <w:tab w:val="left" w:pos="1920"/>
            </w:tabs>
          </w:pPr>
          <w:r>
            <w:tab/>
          </w:r>
        </w:p>
      </w:tc>
    </w:tr>
  </w:tbl>
  <w:p w14:paraId="02888764" w14:textId="77777777"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041B6"/>
    <w:multiLevelType w:val="hybridMultilevel"/>
    <w:tmpl w:val="3EB4E32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E33DA8"/>
    <w:multiLevelType w:val="hybridMultilevel"/>
    <w:tmpl w:val="EB8CE32A"/>
    <w:lvl w:ilvl="0" w:tplc="4636F6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D7583"/>
    <w:multiLevelType w:val="hybridMultilevel"/>
    <w:tmpl w:val="FA448A04"/>
    <w:lvl w:ilvl="0" w:tplc="5CBE582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1A"/>
    <w:rsid w:val="000304BC"/>
    <w:rsid w:val="00032540"/>
    <w:rsid w:val="00037DBD"/>
    <w:rsid w:val="00072599"/>
    <w:rsid w:val="000A5C66"/>
    <w:rsid w:val="000F1C7E"/>
    <w:rsid w:val="00101FDB"/>
    <w:rsid w:val="00102F7D"/>
    <w:rsid w:val="00112883"/>
    <w:rsid w:val="001130BA"/>
    <w:rsid w:val="001443E2"/>
    <w:rsid w:val="00156B11"/>
    <w:rsid w:val="00165E31"/>
    <w:rsid w:val="0017344B"/>
    <w:rsid w:val="00190868"/>
    <w:rsid w:val="00196FCC"/>
    <w:rsid w:val="0019758B"/>
    <w:rsid w:val="001B6860"/>
    <w:rsid w:val="001B6982"/>
    <w:rsid w:val="001C07C7"/>
    <w:rsid w:val="001C1405"/>
    <w:rsid w:val="00205815"/>
    <w:rsid w:val="00227DF8"/>
    <w:rsid w:val="002532B6"/>
    <w:rsid w:val="002616A5"/>
    <w:rsid w:val="0027472B"/>
    <w:rsid w:val="002C318A"/>
    <w:rsid w:val="003206F2"/>
    <w:rsid w:val="003306FA"/>
    <w:rsid w:val="00333EFE"/>
    <w:rsid w:val="00344B26"/>
    <w:rsid w:val="003C18A8"/>
    <w:rsid w:val="003D1DF8"/>
    <w:rsid w:val="003F6EC9"/>
    <w:rsid w:val="00414ED6"/>
    <w:rsid w:val="004435ED"/>
    <w:rsid w:val="00461446"/>
    <w:rsid w:val="00463EC1"/>
    <w:rsid w:val="00466305"/>
    <w:rsid w:val="004666E2"/>
    <w:rsid w:val="0049307C"/>
    <w:rsid w:val="004B0AEF"/>
    <w:rsid w:val="004B39CE"/>
    <w:rsid w:val="004D6116"/>
    <w:rsid w:val="004E11DA"/>
    <w:rsid w:val="004E2733"/>
    <w:rsid w:val="004F534C"/>
    <w:rsid w:val="005D500F"/>
    <w:rsid w:val="00601C1A"/>
    <w:rsid w:val="00613B92"/>
    <w:rsid w:val="00625191"/>
    <w:rsid w:val="00681A1C"/>
    <w:rsid w:val="006A6492"/>
    <w:rsid w:val="006E2E2F"/>
    <w:rsid w:val="006F643B"/>
    <w:rsid w:val="00722877"/>
    <w:rsid w:val="00752AC5"/>
    <w:rsid w:val="00761C27"/>
    <w:rsid w:val="007645BB"/>
    <w:rsid w:val="0078493E"/>
    <w:rsid w:val="00791680"/>
    <w:rsid w:val="007B005D"/>
    <w:rsid w:val="007B14B5"/>
    <w:rsid w:val="007D626A"/>
    <w:rsid w:val="00824179"/>
    <w:rsid w:val="00836C96"/>
    <w:rsid w:val="00837040"/>
    <w:rsid w:val="008442A6"/>
    <w:rsid w:val="00847F0B"/>
    <w:rsid w:val="00855CD0"/>
    <w:rsid w:val="00856CFA"/>
    <w:rsid w:val="00880B21"/>
    <w:rsid w:val="008C00BE"/>
    <w:rsid w:val="00915D7D"/>
    <w:rsid w:val="00947671"/>
    <w:rsid w:val="00963527"/>
    <w:rsid w:val="009A13D5"/>
    <w:rsid w:val="009B0BA2"/>
    <w:rsid w:val="009D5671"/>
    <w:rsid w:val="009E4E08"/>
    <w:rsid w:val="009E7E71"/>
    <w:rsid w:val="009F32AF"/>
    <w:rsid w:val="00A13972"/>
    <w:rsid w:val="00A4660E"/>
    <w:rsid w:val="00A533CA"/>
    <w:rsid w:val="00A617FA"/>
    <w:rsid w:val="00A637D0"/>
    <w:rsid w:val="00A82660"/>
    <w:rsid w:val="00A86D63"/>
    <w:rsid w:val="00AA0BB3"/>
    <w:rsid w:val="00AB5234"/>
    <w:rsid w:val="00AC0E75"/>
    <w:rsid w:val="00AC4125"/>
    <w:rsid w:val="00AD0FCC"/>
    <w:rsid w:val="00AE6941"/>
    <w:rsid w:val="00B55C8B"/>
    <w:rsid w:val="00B71110"/>
    <w:rsid w:val="00B86CC5"/>
    <w:rsid w:val="00B969D6"/>
    <w:rsid w:val="00BA06E5"/>
    <w:rsid w:val="00BE09A4"/>
    <w:rsid w:val="00BF6985"/>
    <w:rsid w:val="00C1422E"/>
    <w:rsid w:val="00C177A6"/>
    <w:rsid w:val="00C33501"/>
    <w:rsid w:val="00C76E1E"/>
    <w:rsid w:val="00C8668A"/>
    <w:rsid w:val="00CB6B27"/>
    <w:rsid w:val="00CC342C"/>
    <w:rsid w:val="00CC41DD"/>
    <w:rsid w:val="00CC4DB7"/>
    <w:rsid w:val="00CD428A"/>
    <w:rsid w:val="00D2054F"/>
    <w:rsid w:val="00DD592E"/>
    <w:rsid w:val="00DE6D89"/>
    <w:rsid w:val="00DF1E3B"/>
    <w:rsid w:val="00DF6E8E"/>
    <w:rsid w:val="00E00A39"/>
    <w:rsid w:val="00E46413"/>
    <w:rsid w:val="00E534D5"/>
    <w:rsid w:val="00E62B79"/>
    <w:rsid w:val="00E66559"/>
    <w:rsid w:val="00E9115F"/>
    <w:rsid w:val="00EA368B"/>
    <w:rsid w:val="00EB2368"/>
    <w:rsid w:val="00EC32B9"/>
    <w:rsid w:val="00ED67E0"/>
    <w:rsid w:val="00EE1E52"/>
    <w:rsid w:val="00F87C9E"/>
    <w:rsid w:val="00FA0578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E7B1E9"/>
  <w15:docId w15:val="{9C4C10EF-1201-46CC-AE9B-15417D6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C1A"/>
    <w:pPr>
      <w:spacing w:after="0" w:line="360" w:lineRule="auto"/>
      <w:jc w:val="both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9"/>
    <w:qFormat/>
    <w:rsid w:val="00A86D63"/>
    <w:pPr>
      <w:keepNext/>
      <w:keepLines/>
      <w:spacing w:before="4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A86D63"/>
    <w:rPr>
      <w:rFonts w:eastAsiaTheme="majorEastAsia" w:cstheme="majorBidi"/>
      <w:b/>
      <w:bCs/>
      <w:sz w:val="28"/>
      <w:szCs w:val="28"/>
      <w:lang w:eastAsia="de-DE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601C1A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601C1A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1E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E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E3B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E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E3B"/>
    <w:rPr>
      <w:rFonts w:eastAsiaTheme="minorEastAsia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45B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45BB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645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866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86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energiestg/BJNR153410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8CD2-98B3-4F68-992A-B3BD86A1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Leutner</dc:creator>
  <cp:lastModifiedBy>Jana Leutner</cp:lastModifiedBy>
  <cp:revision>2</cp:revision>
  <dcterms:created xsi:type="dcterms:W3CDTF">2017-06-15T13:32:00Z</dcterms:created>
  <dcterms:modified xsi:type="dcterms:W3CDTF">2017-06-15T13:32:00Z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