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4CD76" w14:textId="33679795" w:rsidR="00BE721F" w:rsidRPr="00BE721F" w:rsidRDefault="0045683F" w:rsidP="000B0D34">
      <w:pPr>
        <w:pStyle w:val="berschrift1"/>
        <w:spacing w:line="276" w:lineRule="auto"/>
        <w:rPr>
          <w:u w:val="single"/>
        </w:rPr>
      </w:pPr>
      <w:bookmarkStart w:id="0" w:name="_Toc474490388"/>
      <w:bookmarkStart w:id="1" w:name="_Toc474509162"/>
      <w:r>
        <w:rPr>
          <w:u w:val="single"/>
        </w:rPr>
        <w:t>Kapitel IV</w:t>
      </w:r>
      <w:r w:rsidR="00BE721F" w:rsidRPr="00BE721F">
        <w:rPr>
          <w:u w:val="single"/>
        </w:rPr>
        <w:t xml:space="preserve"> – D-EITI Bericht: </w:t>
      </w:r>
      <w:r>
        <w:rPr>
          <w:u w:val="single"/>
        </w:rPr>
        <w:t xml:space="preserve">Bedeutung der rohstoffgewinnenden Industrie in </w:t>
      </w:r>
      <w:r w:rsidR="00BE721F" w:rsidRPr="00BE721F">
        <w:rPr>
          <w:u w:val="single"/>
        </w:rPr>
        <w:t>Deutschland</w:t>
      </w:r>
      <w:r w:rsidR="005A2A1D">
        <w:rPr>
          <w:u w:val="single"/>
        </w:rPr>
        <w:t xml:space="preserve"> (23.03.2017)</w:t>
      </w:r>
    </w:p>
    <w:bookmarkEnd w:id="0"/>
    <w:bookmarkEnd w:id="1"/>
    <w:p w14:paraId="6DBCA02E" w14:textId="77777777" w:rsidR="00AD7E7B" w:rsidRPr="007F7AAE" w:rsidRDefault="00AD7E7B" w:rsidP="00057636">
      <w:pPr>
        <w:spacing w:before="240" w:after="240" w:line="276" w:lineRule="auto"/>
        <w:rPr>
          <w:rFonts w:asciiTheme="majorHAnsi" w:hAnsiTheme="majorHAnsi"/>
          <w:color w:val="00B050"/>
          <w:sz w:val="28"/>
          <w:szCs w:val="28"/>
        </w:rPr>
      </w:pPr>
    </w:p>
    <w:p w14:paraId="1391E2A7" w14:textId="6E9A7CCB" w:rsidR="00AD7E7B" w:rsidRPr="007F7AAE" w:rsidRDefault="00C27148" w:rsidP="00DF1311">
      <w:pPr>
        <w:pStyle w:val="berschrift1"/>
        <w:spacing w:before="0" w:line="276" w:lineRule="auto"/>
      </w:pPr>
      <w:bookmarkStart w:id="2" w:name="_Toc474509182"/>
      <w:proofErr w:type="gramStart"/>
      <w:r w:rsidRPr="007F7AAE">
        <w:rPr>
          <w:i/>
        </w:rPr>
        <w:t>5.a</w:t>
      </w:r>
      <w:proofErr w:type="gramEnd"/>
      <w:r w:rsidRPr="007F7AAE">
        <w:rPr>
          <w:i/>
        </w:rPr>
        <w:tab/>
      </w:r>
      <w:r w:rsidR="00AD7E7B" w:rsidRPr="007F7AAE">
        <w:t>BIP:</w:t>
      </w:r>
      <w:r w:rsidR="00AD7E7B" w:rsidRPr="007F7AAE">
        <w:rPr>
          <w:i/>
        </w:rPr>
        <w:t xml:space="preserve">  </w:t>
      </w:r>
      <w:r w:rsidR="00AD7E7B" w:rsidRPr="007F7AAE">
        <w:t>Wie groß ist der deutsche Rohstoffsektor?</w:t>
      </w:r>
      <w:bookmarkEnd w:id="2"/>
    </w:p>
    <w:p w14:paraId="199125A1" w14:textId="77777777" w:rsidR="00657E28" w:rsidRPr="007F7AAE" w:rsidRDefault="00657E28" w:rsidP="00D15C41">
      <w:pPr>
        <w:spacing w:after="240"/>
        <w:rPr>
          <w:rFonts w:asciiTheme="majorHAnsi" w:hAnsiTheme="majorHAnsi"/>
          <w:sz w:val="28"/>
          <w:szCs w:val="28"/>
        </w:rPr>
      </w:pPr>
    </w:p>
    <w:p w14:paraId="5EB0E800" w14:textId="2570B1EE" w:rsidR="00AD7E7B" w:rsidRPr="007F7AAE" w:rsidRDefault="00AD7E7B" w:rsidP="000B0D34">
      <w:pPr>
        <w:autoSpaceDE w:val="0"/>
        <w:autoSpaceDN w:val="0"/>
        <w:adjustRightInd w:val="0"/>
        <w:spacing w:line="276" w:lineRule="auto"/>
        <w:rPr>
          <w:rFonts w:asciiTheme="majorHAnsi" w:hAnsiTheme="majorHAnsi" w:cs="Arial"/>
          <w:sz w:val="22"/>
          <w:szCs w:val="22"/>
        </w:rPr>
      </w:pPr>
      <w:r w:rsidRPr="007F7AAE">
        <w:rPr>
          <w:rFonts w:asciiTheme="majorHAnsi" w:hAnsiTheme="majorHAnsi" w:cs="Arial"/>
          <w:sz w:val="22"/>
          <w:szCs w:val="22"/>
        </w:rPr>
        <w:t xml:space="preserve">Mit einem </w:t>
      </w:r>
      <w:r w:rsidRPr="007F7AAE">
        <w:rPr>
          <w:rFonts w:asciiTheme="majorHAnsi" w:hAnsiTheme="majorHAnsi" w:cs="Arial"/>
          <w:color w:val="FF0000"/>
          <w:sz w:val="22"/>
          <w:szCs w:val="22"/>
        </w:rPr>
        <w:t>Bruttoinlandsprodukt</w:t>
      </w:r>
      <w:r w:rsidRPr="007F7AAE">
        <w:rPr>
          <w:rFonts w:asciiTheme="majorHAnsi" w:hAnsiTheme="majorHAnsi" w:cs="Arial"/>
          <w:sz w:val="22"/>
          <w:szCs w:val="22"/>
        </w:rPr>
        <w:t xml:space="preserve"> von rund 3.032,82 Milliarden Euro im Jahr 2015 ist Deutschland die größte Volkswirtschaft Europas und die viertgrößte der Welt. Die </w:t>
      </w:r>
      <w:r w:rsidRPr="007F7AAE">
        <w:rPr>
          <w:rFonts w:asciiTheme="majorHAnsi" w:hAnsiTheme="majorHAnsi" w:cs="Arial"/>
          <w:color w:val="FF0000"/>
          <w:sz w:val="22"/>
          <w:szCs w:val="22"/>
        </w:rPr>
        <w:t>Bruttowertschöpfung</w:t>
      </w:r>
      <w:r w:rsidRPr="007F7AAE">
        <w:rPr>
          <w:rFonts w:asciiTheme="majorHAnsi" w:hAnsiTheme="majorHAnsi" w:cs="Arial"/>
          <w:sz w:val="22"/>
          <w:szCs w:val="22"/>
        </w:rPr>
        <w:t xml:space="preserve"> des Wir</w:t>
      </w:r>
      <w:r w:rsidRPr="007F7AAE">
        <w:rPr>
          <w:rFonts w:asciiTheme="majorHAnsi" w:hAnsiTheme="majorHAnsi" w:cs="Arial"/>
          <w:sz w:val="22"/>
          <w:szCs w:val="22"/>
        </w:rPr>
        <w:t>t</w:t>
      </w:r>
      <w:r w:rsidRPr="007F7AAE">
        <w:rPr>
          <w:rFonts w:asciiTheme="majorHAnsi" w:hAnsiTheme="majorHAnsi" w:cs="Arial"/>
          <w:sz w:val="22"/>
          <w:szCs w:val="22"/>
        </w:rPr>
        <w:t>schaftszweigs „Bergbau und Gewinnung von Steinen und Erden“</w:t>
      </w:r>
      <w:r w:rsidRPr="007F7AAE">
        <w:rPr>
          <w:rStyle w:val="Endnotenzeichen"/>
          <w:rFonts w:asciiTheme="majorHAnsi" w:hAnsiTheme="majorHAnsi" w:cs="Arial"/>
          <w:sz w:val="22"/>
          <w:szCs w:val="22"/>
        </w:rPr>
        <w:t xml:space="preserve"> </w:t>
      </w:r>
      <w:r w:rsidRPr="007F7AAE">
        <w:rPr>
          <w:rFonts w:asciiTheme="majorHAnsi" w:hAnsiTheme="majorHAnsi" w:cs="Arial"/>
          <w:sz w:val="22"/>
          <w:szCs w:val="22"/>
        </w:rPr>
        <w:t xml:space="preserve">betrug im Jahr 2015 4,16 Milliarden Euro, was einem Anteil von </w:t>
      </w:r>
      <w:r w:rsidRPr="007F7AAE">
        <w:rPr>
          <w:rFonts w:asciiTheme="majorHAnsi" w:hAnsiTheme="majorHAnsi" w:cs="Arial"/>
          <w:b/>
          <w:sz w:val="22"/>
          <w:szCs w:val="22"/>
        </w:rPr>
        <w:t>0,14%</w:t>
      </w:r>
      <w:r w:rsidRPr="007F7AAE">
        <w:rPr>
          <w:rFonts w:asciiTheme="majorHAnsi" w:hAnsiTheme="majorHAnsi" w:cs="Arial"/>
          <w:sz w:val="22"/>
          <w:szCs w:val="22"/>
        </w:rPr>
        <w:t xml:space="preserve"> am BIP entspricht. </w:t>
      </w:r>
    </w:p>
    <w:p w14:paraId="43C11ED8" w14:textId="77777777" w:rsidR="00AD7E7B" w:rsidRPr="007F7AAE" w:rsidRDefault="00AD7E7B" w:rsidP="00BC11A9">
      <w:pPr>
        <w:autoSpaceDE w:val="0"/>
        <w:autoSpaceDN w:val="0"/>
        <w:adjustRightInd w:val="0"/>
        <w:spacing w:line="276" w:lineRule="auto"/>
        <w:rPr>
          <w:rFonts w:asciiTheme="majorHAnsi" w:hAnsiTheme="majorHAnsi" w:cs="Arial"/>
          <w:sz w:val="22"/>
          <w:szCs w:val="22"/>
        </w:rPr>
      </w:pPr>
    </w:p>
    <w:p w14:paraId="47F59392" w14:textId="77777777" w:rsidR="00BC0810" w:rsidRPr="007F7AAE" w:rsidRDefault="00BC0810" w:rsidP="00BC11A9">
      <w:pPr>
        <w:autoSpaceDE w:val="0"/>
        <w:autoSpaceDN w:val="0"/>
        <w:adjustRightInd w:val="0"/>
        <w:spacing w:line="276" w:lineRule="auto"/>
        <w:rPr>
          <w:rFonts w:asciiTheme="majorHAnsi" w:hAnsiTheme="majorHAnsi" w:cs="Arial"/>
          <w:sz w:val="22"/>
          <w:szCs w:val="22"/>
        </w:rPr>
      </w:pPr>
    </w:p>
    <w:p w14:paraId="62C90BF3" w14:textId="77777777" w:rsidR="00AD7E7B" w:rsidRPr="007F7AAE" w:rsidRDefault="00AD7E7B" w:rsidP="008B1034">
      <w:pPr>
        <w:autoSpaceDE w:val="0"/>
        <w:autoSpaceDN w:val="0"/>
        <w:adjustRightInd w:val="0"/>
        <w:spacing w:after="240" w:line="276" w:lineRule="auto"/>
        <w:rPr>
          <w:rFonts w:asciiTheme="majorHAnsi" w:hAnsiTheme="majorHAnsi" w:cs="Arial"/>
          <w:sz w:val="22"/>
          <w:szCs w:val="22"/>
        </w:rPr>
      </w:pPr>
      <w:r w:rsidRPr="007F7AAE">
        <w:rPr>
          <w:rFonts w:asciiTheme="majorHAnsi" w:hAnsiTheme="majorHAnsi" w:cs="Arial"/>
          <w:i/>
          <w:sz w:val="22"/>
          <w:szCs w:val="22"/>
        </w:rPr>
        <w:t>Daten einsehen</w:t>
      </w:r>
      <w:r w:rsidRPr="007F7AAE">
        <w:rPr>
          <w:rFonts w:asciiTheme="majorHAnsi" w:hAnsiTheme="majorHAnsi" w:cs="Arial"/>
          <w:sz w:val="22"/>
          <w:szCs w:val="22"/>
        </w:rPr>
        <w:t xml:space="preserve">: </w:t>
      </w:r>
    </w:p>
    <w:p w14:paraId="55DC4E0E" w14:textId="77777777" w:rsidR="00AD7E7B" w:rsidRPr="007F7AAE" w:rsidRDefault="00AD7E7B" w:rsidP="000B0D34">
      <w:pPr>
        <w:spacing w:line="276" w:lineRule="auto"/>
        <w:rPr>
          <w:rFonts w:asciiTheme="majorHAnsi" w:hAnsiTheme="majorHAnsi"/>
          <w:sz w:val="22"/>
          <w:szCs w:val="22"/>
        </w:rPr>
      </w:pPr>
      <w:r w:rsidRPr="007F7AAE">
        <w:rPr>
          <w:rFonts w:asciiTheme="majorHAnsi" w:hAnsiTheme="majorHAnsi" w:cs="Arial"/>
          <w:sz w:val="22"/>
          <w:szCs w:val="22"/>
        </w:rPr>
        <w:t>Die Daten werden der aktuellen Volkswirtschaftlichen Gesamtrechnung des statistischen Bundesa</w:t>
      </w:r>
      <w:r w:rsidRPr="007F7AAE">
        <w:rPr>
          <w:rFonts w:asciiTheme="majorHAnsi" w:hAnsiTheme="majorHAnsi" w:cs="Arial"/>
          <w:sz w:val="22"/>
          <w:szCs w:val="22"/>
        </w:rPr>
        <w:t>m</w:t>
      </w:r>
      <w:r w:rsidRPr="007F7AAE">
        <w:rPr>
          <w:rFonts w:asciiTheme="majorHAnsi" w:hAnsiTheme="majorHAnsi" w:cs="Arial"/>
          <w:sz w:val="22"/>
          <w:szCs w:val="22"/>
        </w:rPr>
        <w:t xml:space="preserve">tes entnommen </w:t>
      </w:r>
      <w:r w:rsidRPr="007F7AAE">
        <w:rPr>
          <w:rFonts w:asciiTheme="majorHAnsi" w:hAnsiTheme="majorHAnsi"/>
          <w:sz w:val="22"/>
          <w:szCs w:val="22"/>
        </w:rPr>
        <w:t>(</w:t>
      </w:r>
      <w:hyperlink r:id="rId9" w:history="1">
        <w:r w:rsidRPr="007F7AAE">
          <w:rPr>
            <w:rStyle w:val="Hyperlink"/>
            <w:rFonts w:asciiTheme="majorHAnsi" w:hAnsiTheme="majorHAnsi"/>
            <w:sz w:val="22"/>
            <w:szCs w:val="22"/>
          </w:rPr>
          <w:t>PDF</w:t>
        </w:r>
      </w:hyperlink>
      <w:r w:rsidRPr="007F7AAE">
        <w:rPr>
          <w:rFonts w:asciiTheme="majorHAnsi" w:hAnsiTheme="majorHAnsi"/>
          <w:sz w:val="22"/>
          <w:szCs w:val="22"/>
        </w:rPr>
        <w:t xml:space="preserve"> und </w:t>
      </w:r>
      <w:hyperlink r:id="rId10" w:history="1">
        <w:r w:rsidRPr="007F7AAE">
          <w:rPr>
            <w:rStyle w:val="Hyperlink"/>
            <w:rFonts w:asciiTheme="majorHAnsi" w:hAnsiTheme="majorHAnsi"/>
            <w:sz w:val="22"/>
            <w:szCs w:val="22"/>
          </w:rPr>
          <w:t>EXCEL</w:t>
        </w:r>
      </w:hyperlink>
      <w:r w:rsidRPr="007F7AAE">
        <w:rPr>
          <w:rFonts w:asciiTheme="majorHAnsi" w:hAnsiTheme="majorHAnsi"/>
          <w:sz w:val="22"/>
          <w:szCs w:val="22"/>
        </w:rPr>
        <w:t>).</w:t>
      </w:r>
    </w:p>
    <w:p w14:paraId="7FAB54AF" w14:textId="77777777" w:rsidR="00AD7E7B" w:rsidRPr="007F7AAE" w:rsidRDefault="00AD7E7B" w:rsidP="000B0D34">
      <w:pPr>
        <w:spacing w:line="276" w:lineRule="auto"/>
        <w:rPr>
          <w:rFonts w:asciiTheme="majorHAnsi" w:hAnsiTheme="majorHAnsi" w:cs="Arial"/>
          <w:b/>
          <w:sz w:val="22"/>
          <w:szCs w:val="22"/>
        </w:rPr>
      </w:pPr>
      <w:r w:rsidRPr="007F7AAE">
        <w:rPr>
          <w:rFonts w:asciiTheme="majorHAnsi" w:hAnsiTheme="majorHAnsi"/>
          <w:sz w:val="22"/>
          <w:szCs w:val="22"/>
        </w:rPr>
        <w:t>Der Wirtschaftszweig „Bergbau und Gewinnung von Steinen und Erden“ umfasst die Gewinnung n</w:t>
      </w:r>
      <w:r w:rsidRPr="007F7AAE">
        <w:rPr>
          <w:rFonts w:asciiTheme="majorHAnsi" w:hAnsiTheme="majorHAnsi"/>
          <w:sz w:val="22"/>
          <w:szCs w:val="22"/>
        </w:rPr>
        <w:t>a</w:t>
      </w:r>
      <w:r w:rsidRPr="007F7AAE">
        <w:rPr>
          <w:rFonts w:asciiTheme="majorHAnsi" w:hAnsiTheme="majorHAnsi"/>
          <w:sz w:val="22"/>
          <w:szCs w:val="22"/>
        </w:rPr>
        <w:t>türlich vorkommender fester (wie Kohle, Salz und Erze), flüssiger (Erdöl) und gasförmiger (Erdgas) mineralischer Rohstoffe.  Eine detaillierte Auflistung findet sich in der „</w:t>
      </w:r>
      <w:hyperlink r:id="rId11" w:history="1">
        <w:r w:rsidRPr="007F7AAE">
          <w:rPr>
            <w:rStyle w:val="Hyperlink"/>
            <w:rFonts w:asciiTheme="majorHAnsi" w:hAnsiTheme="majorHAnsi"/>
            <w:sz w:val="22"/>
            <w:szCs w:val="22"/>
          </w:rPr>
          <w:t>Klassifikation der Wirtschaft</w:t>
        </w:r>
        <w:r w:rsidRPr="007F7AAE">
          <w:rPr>
            <w:rStyle w:val="Hyperlink"/>
            <w:rFonts w:asciiTheme="majorHAnsi" w:hAnsiTheme="majorHAnsi"/>
            <w:sz w:val="22"/>
            <w:szCs w:val="22"/>
          </w:rPr>
          <w:t>s</w:t>
        </w:r>
        <w:r w:rsidRPr="007F7AAE">
          <w:rPr>
            <w:rStyle w:val="Hyperlink"/>
            <w:rFonts w:asciiTheme="majorHAnsi" w:hAnsiTheme="majorHAnsi"/>
            <w:sz w:val="22"/>
            <w:szCs w:val="22"/>
          </w:rPr>
          <w:t>zweige</w:t>
        </w:r>
      </w:hyperlink>
      <w:r w:rsidRPr="007F7AAE">
        <w:rPr>
          <w:rFonts w:asciiTheme="majorHAnsi" w:hAnsiTheme="majorHAnsi"/>
          <w:sz w:val="22"/>
          <w:szCs w:val="22"/>
        </w:rPr>
        <w:t>“ des statistischen Bundesamts auf Seite 175-185.</w:t>
      </w:r>
    </w:p>
    <w:p w14:paraId="4BAEE31C" w14:textId="77777777" w:rsidR="00481B77" w:rsidRPr="007F7AAE" w:rsidRDefault="00481B77" w:rsidP="00BC0810">
      <w:pPr>
        <w:spacing w:before="240" w:after="240" w:line="276" w:lineRule="auto"/>
        <w:rPr>
          <w:rFonts w:asciiTheme="majorHAnsi" w:hAnsiTheme="majorHAnsi"/>
          <w:sz w:val="28"/>
          <w:szCs w:val="28"/>
        </w:rPr>
      </w:pPr>
    </w:p>
    <w:p w14:paraId="71A2730C" w14:textId="6250F462" w:rsidR="00AD7E7B" w:rsidRPr="007F7AAE" w:rsidRDefault="00C27148" w:rsidP="00BC0810">
      <w:pPr>
        <w:pStyle w:val="berschrift1"/>
        <w:spacing w:before="0" w:line="276" w:lineRule="auto"/>
      </w:pPr>
      <w:bookmarkStart w:id="3" w:name="_Toc474509183"/>
      <w:r w:rsidRPr="007F7AAE">
        <w:t>5.c</w:t>
      </w:r>
      <w:r w:rsidRPr="007F7AAE">
        <w:tab/>
      </w:r>
      <w:r w:rsidR="00AD7E7B" w:rsidRPr="007F7AAE">
        <w:t>Exporte</w:t>
      </w:r>
      <w:bookmarkEnd w:id="3"/>
      <w:r w:rsidR="00AD7E7B" w:rsidRPr="007F7AAE">
        <w:t xml:space="preserve"> </w:t>
      </w:r>
    </w:p>
    <w:p w14:paraId="75F1EE98" w14:textId="77777777" w:rsidR="00D15C41" w:rsidRPr="007F7AAE" w:rsidRDefault="00D15C41" w:rsidP="00D15C41">
      <w:pPr>
        <w:spacing w:after="240"/>
        <w:rPr>
          <w:rFonts w:asciiTheme="majorHAnsi" w:hAnsiTheme="majorHAnsi"/>
          <w:sz w:val="28"/>
          <w:szCs w:val="28"/>
        </w:rPr>
      </w:pPr>
    </w:p>
    <w:p w14:paraId="00248ACD" w14:textId="2987A974" w:rsidR="00AD7E7B" w:rsidRPr="007F7AAE" w:rsidRDefault="00AD7E7B" w:rsidP="000B0D34">
      <w:pPr>
        <w:spacing w:line="276" w:lineRule="auto"/>
        <w:rPr>
          <w:rFonts w:asciiTheme="majorHAnsi" w:hAnsiTheme="majorHAnsi" w:cs="Arial"/>
          <w:sz w:val="22"/>
          <w:szCs w:val="22"/>
        </w:rPr>
      </w:pPr>
      <w:r w:rsidRPr="007F7AAE">
        <w:rPr>
          <w:rFonts w:asciiTheme="majorHAnsi" w:hAnsiTheme="majorHAnsi" w:cs="Arial"/>
          <w:sz w:val="22"/>
          <w:szCs w:val="22"/>
        </w:rPr>
        <w:t>Deutschland ist von einer stark exportorientierten und diversifizierten Wirtschaftsstruktur geken</w:t>
      </w:r>
      <w:r w:rsidRPr="007F7AAE">
        <w:rPr>
          <w:rFonts w:asciiTheme="majorHAnsi" w:hAnsiTheme="majorHAnsi" w:cs="Arial"/>
          <w:sz w:val="22"/>
          <w:szCs w:val="22"/>
        </w:rPr>
        <w:t>n</w:t>
      </w:r>
      <w:r w:rsidRPr="007F7AAE">
        <w:rPr>
          <w:rFonts w:asciiTheme="majorHAnsi" w:hAnsiTheme="majorHAnsi" w:cs="Arial"/>
          <w:sz w:val="22"/>
          <w:szCs w:val="22"/>
        </w:rPr>
        <w:t>zeichnet. 201</w:t>
      </w:r>
      <w:r w:rsidR="0064464A">
        <w:rPr>
          <w:rFonts w:asciiTheme="majorHAnsi" w:hAnsiTheme="majorHAnsi" w:cs="Arial"/>
          <w:sz w:val="22"/>
          <w:szCs w:val="22"/>
        </w:rPr>
        <w:t>6</w:t>
      </w:r>
      <w:r w:rsidRPr="007F7AAE">
        <w:rPr>
          <w:rFonts w:asciiTheme="majorHAnsi" w:hAnsiTheme="majorHAnsi" w:cs="Arial"/>
          <w:sz w:val="22"/>
          <w:szCs w:val="22"/>
        </w:rPr>
        <w:t xml:space="preserve"> exportierte </w:t>
      </w:r>
      <w:r w:rsidRPr="001B3D86">
        <w:rPr>
          <w:rFonts w:asciiTheme="majorHAnsi" w:hAnsiTheme="majorHAnsi" w:cs="Arial"/>
          <w:sz w:val="22"/>
          <w:szCs w:val="22"/>
        </w:rPr>
        <w:t>das Land  Waren im Wert von insgesamt 1</w:t>
      </w:r>
      <w:r w:rsidR="001B3D86" w:rsidRPr="001B3D86">
        <w:rPr>
          <w:rFonts w:asciiTheme="majorHAnsi" w:hAnsiTheme="majorHAnsi" w:cs="Arial"/>
          <w:sz w:val="22"/>
          <w:szCs w:val="22"/>
        </w:rPr>
        <w:t>.</w:t>
      </w:r>
      <w:r w:rsidR="0064464A" w:rsidRPr="001B3D86">
        <w:rPr>
          <w:rFonts w:asciiTheme="majorHAnsi" w:hAnsiTheme="majorHAnsi" w:cs="Arial"/>
          <w:sz w:val="22"/>
          <w:szCs w:val="22"/>
        </w:rPr>
        <w:t>206</w:t>
      </w:r>
      <w:r w:rsidRPr="001B3D86">
        <w:rPr>
          <w:rFonts w:asciiTheme="majorHAnsi" w:hAnsiTheme="majorHAnsi" w:cs="Arial"/>
          <w:sz w:val="22"/>
          <w:szCs w:val="22"/>
        </w:rPr>
        <w:t xml:space="preserve"> Milliarden Euro. Dabei entfielen rund </w:t>
      </w:r>
      <w:r w:rsidR="0064464A" w:rsidRPr="001B3D86">
        <w:rPr>
          <w:rFonts w:asciiTheme="majorHAnsi" w:hAnsiTheme="majorHAnsi" w:cs="Arial"/>
          <w:sz w:val="22"/>
          <w:szCs w:val="22"/>
        </w:rPr>
        <w:t>6,6</w:t>
      </w:r>
      <w:r w:rsidRPr="001B3D86">
        <w:rPr>
          <w:rFonts w:asciiTheme="majorHAnsi" w:hAnsiTheme="majorHAnsi" w:cs="Arial"/>
          <w:sz w:val="22"/>
          <w:szCs w:val="22"/>
        </w:rPr>
        <w:t xml:space="preserve"> Milliarden Euro auf Waren der rohstoffgewinnenden Industrie</w:t>
      </w:r>
      <w:r w:rsidR="00FB2412" w:rsidRPr="001B3D86">
        <w:rPr>
          <w:rStyle w:val="Funotenzeichen"/>
          <w:rFonts w:asciiTheme="majorHAnsi" w:hAnsiTheme="majorHAnsi" w:cs="Arial"/>
          <w:sz w:val="22"/>
          <w:szCs w:val="22"/>
        </w:rPr>
        <w:footnoteReference w:id="1"/>
      </w:r>
      <w:r w:rsidRPr="001B3D86">
        <w:rPr>
          <w:rFonts w:asciiTheme="majorHAnsi" w:hAnsiTheme="majorHAnsi" w:cs="Arial"/>
          <w:sz w:val="22"/>
          <w:szCs w:val="22"/>
        </w:rPr>
        <w:t>, was einem Anteil von 0</w:t>
      </w:r>
      <w:r w:rsidR="001B3D86" w:rsidRPr="001B3D86">
        <w:rPr>
          <w:rFonts w:asciiTheme="majorHAnsi" w:hAnsiTheme="majorHAnsi" w:cs="Arial"/>
          <w:sz w:val="22"/>
          <w:szCs w:val="22"/>
        </w:rPr>
        <w:t>,5</w:t>
      </w:r>
      <w:r w:rsidRPr="001B3D86">
        <w:rPr>
          <w:rFonts w:asciiTheme="majorHAnsi" w:hAnsiTheme="majorHAnsi" w:cs="Arial"/>
          <w:sz w:val="22"/>
          <w:szCs w:val="22"/>
        </w:rPr>
        <w:t xml:space="preserve">4 % an den Gesamtexporten entspricht. Erdöl und Erdgas machten dabei mit </w:t>
      </w:r>
      <w:r w:rsidR="0064464A" w:rsidRPr="001B3D86">
        <w:rPr>
          <w:rFonts w:asciiTheme="majorHAnsi" w:hAnsiTheme="majorHAnsi" w:cs="Arial"/>
          <w:sz w:val="22"/>
          <w:szCs w:val="22"/>
        </w:rPr>
        <w:t>knapp 5</w:t>
      </w:r>
      <w:r w:rsidRPr="001B3D86">
        <w:rPr>
          <w:rFonts w:asciiTheme="majorHAnsi" w:hAnsiTheme="majorHAnsi" w:cs="Arial"/>
          <w:sz w:val="22"/>
          <w:szCs w:val="22"/>
        </w:rPr>
        <w:t xml:space="preserve"> Millia</w:t>
      </w:r>
      <w:r w:rsidRPr="001B3D86">
        <w:rPr>
          <w:rFonts w:asciiTheme="majorHAnsi" w:hAnsiTheme="majorHAnsi" w:cs="Arial"/>
          <w:sz w:val="22"/>
          <w:szCs w:val="22"/>
        </w:rPr>
        <w:t>r</w:t>
      </w:r>
      <w:r w:rsidRPr="001B3D86">
        <w:rPr>
          <w:rFonts w:asciiTheme="majorHAnsi" w:hAnsiTheme="majorHAnsi" w:cs="Arial"/>
          <w:sz w:val="22"/>
          <w:szCs w:val="22"/>
        </w:rPr>
        <w:t>den Euro den größten Anteil an den Exporten aus, gefolgt von Steinen, Erden und sonstigen Ber</w:t>
      </w:r>
      <w:r w:rsidRPr="001B3D86">
        <w:rPr>
          <w:rFonts w:asciiTheme="majorHAnsi" w:hAnsiTheme="majorHAnsi" w:cs="Arial"/>
          <w:sz w:val="22"/>
          <w:szCs w:val="22"/>
        </w:rPr>
        <w:t>g</w:t>
      </w:r>
      <w:r w:rsidRPr="001B3D86">
        <w:rPr>
          <w:rFonts w:asciiTheme="majorHAnsi" w:hAnsiTheme="majorHAnsi" w:cs="Arial"/>
          <w:sz w:val="22"/>
          <w:szCs w:val="22"/>
        </w:rPr>
        <w:t xml:space="preserve">bauerzeugnissen mit 1,3 Milliarden Euro. Zudem wurden Erze </w:t>
      </w:r>
      <w:r w:rsidR="0064464A" w:rsidRPr="001B3D86">
        <w:rPr>
          <w:rFonts w:asciiTheme="majorHAnsi" w:hAnsiTheme="majorHAnsi" w:cs="Arial"/>
          <w:sz w:val="22"/>
          <w:szCs w:val="22"/>
        </w:rPr>
        <w:t xml:space="preserve">und Kohle </w:t>
      </w:r>
      <w:r w:rsidRPr="001B3D86">
        <w:rPr>
          <w:rFonts w:asciiTheme="majorHAnsi" w:hAnsiTheme="majorHAnsi" w:cs="Arial"/>
          <w:sz w:val="22"/>
          <w:szCs w:val="22"/>
        </w:rPr>
        <w:t xml:space="preserve">im Wert von </w:t>
      </w:r>
      <w:r w:rsidR="0064464A" w:rsidRPr="001B3D86">
        <w:rPr>
          <w:rFonts w:asciiTheme="majorHAnsi" w:hAnsiTheme="majorHAnsi" w:cs="Arial"/>
          <w:sz w:val="22"/>
          <w:szCs w:val="22"/>
        </w:rPr>
        <w:t xml:space="preserve">je rund </w:t>
      </w:r>
      <w:r w:rsidRPr="001B3D86">
        <w:rPr>
          <w:rFonts w:asciiTheme="majorHAnsi" w:hAnsiTheme="majorHAnsi" w:cs="Arial"/>
          <w:sz w:val="22"/>
          <w:szCs w:val="22"/>
        </w:rPr>
        <w:t>1</w:t>
      </w:r>
      <w:r w:rsidR="0064464A" w:rsidRPr="001B3D86">
        <w:rPr>
          <w:rFonts w:asciiTheme="majorHAnsi" w:hAnsiTheme="majorHAnsi" w:cs="Arial"/>
          <w:sz w:val="22"/>
          <w:szCs w:val="22"/>
        </w:rPr>
        <w:t>20</w:t>
      </w:r>
      <w:r w:rsidRPr="001B3D86">
        <w:rPr>
          <w:rFonts w:asciiTheme="majorHAnsi" w:hAnsiTheme="majorHAnsi" w:cs="Arial"/>
          <w:sz w:val="22"/>
          <w:szCs w:val="22"/>
        </w:rPr>
        <w:t xml:space="preserve"> Mio. </w:t>
      </w:r>
      <w:r w:rsidR="0064464A" w:rsidRPr="001B3D86">
        <w:rPr>
          <w:rFonts w:asciiTheme="majorHAnsi" w:hAnsiTheme="majorHAnsi" w:cs="Arial"/>
          <w:sz w:val="22"/>
          <w:szCs w:val="22"/>
        </w:rPr>
        <w:t xml:space="preserve">Euro </w:t>
      </w:r>
      <w:r w:rsidRPr="001B3D86">
        <w:rPr>
          <w:rFonts w:asciiTheme="majorHAnsi" w:hAnsiTheme="majorHAnsi" w:cs="Arial"/>
          <w:sz w:val="22"/>
          <w:szCs w:val="22"/>
        </w:rPr>
        <w:t>exportiert.</w:t>
      </w:r>
      <w:r w:rsidRPr="007F7AAE">
        <w:rPr>
          <w:rFonts w:asciiTheme="majorHAnsi" w:hAnsiTheme="majorHAnsi" w:cs="Arial"/>
          <w:sz w:val="22"/>
          <w:szCs w:val="22"/>
        </w:rPr>
        <w:t xml:space="preserve"> </w:t>
      </w:r>
    </w:p>
    <w:p w14:paraId="04994C98" w14:textId="77777777" w:rsidR="00AD7E7B" w:rsidRPr="007F7AAE" w:rsidRDefault="00AD7E7B" w:rsidP="00257719">
      <w:pPr>
        <w:spacing w:after="240" w:line="276" w:lineRule="auto"/>
        <w:rPr>
          <w:rFonts w:asciiTheme="majorHAnsi" w:hAnsiTheme="majorHAnsi" w:cs="Arial"/>
          <w:b/>
          <w:sz w:val="22"/>
          <w:szCs w:val="22"/>
        </w:rPr>
      </w:pPr>
    </w:p>
    <w:p w14:paraId="3868DECB" w14:textId="0A3DCADB" w:rsidR="00AD7E7B" w:rsidRPr="0064464A" w:rsidRDefault="00AD7E7B" w:rsidP="000B0D34">
      <w:pPr>
        <w:spacing w:line="276" w:lineRule="auto"/>
        <w:rPr>
          <w:rFonts w:asciiTheme="majorHAnsi" w:hAnsiTheme="majorHAnsi" w:cs="Arial"/>
        </w:rPr>
      </w:pPr>
    </w:p>
    <w:p w14:paraId="22604320" w14:textId="7F9BDD4A" w:rsidR="003639A7" w:rsidRPr="007F7AAE" w:rsidRDefault="0064464A" w:rsidP="000B0D34">
      <w:pPr>
        <w:spacing w:line="276" w:lineRule="auto"/>
        <w:rPr>
          <w:rFonts w:asciiTheme="majorHAnsi" w:hAnsiTheme="majorHAnsi" w:cs="Arial"/>
          <w:lang w:val="fr-FR"/>
        </w:rPr>
      </w:pPr>
      <w:r w:rsidRPr="007F7AAE">
        <w:rPr>
          <w:rFonts w:asciiTheme="majorHAnsi" w:hAnsiTheme="majorHAnsi" w:cs="Arial"/>
          <w:b/>
          <w:noProof/>
          <w:sz w:val="20"/>
          <w:szCs w:val="20"/>
        </w:rPr>
        <w:lastRenderedPageBreak/>
        <mc:AlternateContent>
          <mc:Choice Requires="wps">
            <w:drawing>
              <wp:anchor distT="0" distB="0" distL="114300" distR="114300" simplePos="0" relativeHeight="251661312" behindDoc="0" locked="0" layoutInCell="1" allowOverlap="1" wp14:anchorId="50773FE9" wp14:editId="03639BF9">
                <wp:simplePos x="0" y="0"/>
                <wp:positionH relativeFrom="column">
                  <wp:posOffset>929005</wp:posOffset>
                </wp:positionH>
                <wp:positionV relativeFrom="paragraph">
                  <wp:posOffset>315595</wp:posOffset>
                </wp:positionV>
                <wp:extent cx="3895725" cy="254000"/>
                <wp:effectExtent l="0" t="0" r="28575" b="12700"/>
                <wp:wrapNone/>
                <wp:docPr id="4" name="Textfeld 4"/>
                <wp:cNvGraphicFramePr/>
                <a:graphic xmlns:a="http://schemas.openxmlformats.org/drawingml/2006/main">
                  <a:graphicData uri="http://schemas.microsoft.com/office/word/2010/wordprocessingShape">
                    <wps:wsp>
                      <wps:cNvSpPr txBox="1"/>
                      <wps:spPr>
                        <a:xfrm>
                          <a:off x="0" y="0"/>
                          <a:ext cx="3895725"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002891" w14:textId="12A67A66" w:rsidR="0064464A" w:rsidRDefault="0064464A" w:rsidP="00AD7E7B">
                            <w:r>
                              <w:t xml:space="preserve"> 7,4               7,5               7,0              10,0               6,6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73.15pt;margin-top:24.85pt;width:306.7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" fillcolor="white [3201]" strokeweight=".5pt">
                <v:textbox>
                  <w:txbxContent>
                    <w:p w14:paraId="5D002891" w14:textId="12A67A66" w:rsidR="0064464A" w:rsidRDefault="0064464A" w:rsidP="00AD7E7B">
                      <w:r>
                        <w:t xml:space="preserve"> 7,4               7,5               7,0              10,0               6,6</w:t>
                      </w:r>
                    </w:p>
                  </w:txbxContent>
                </v:textbox>
              </v:shape>
            </w:pict>
          </mc:Fallback>
        </mc:AlternateContent>
      </w:r>
      <w:r w:rsidR="003639A7">
        <w:rPr>
          <w:noProof/>
        </w:rPr>
        <w:drawing>
          <wp:inline distT="0" distB="0" distL="0" distR="0" wp14:anchorId="47A05584" wp14:editId="222C1AB9">
            <wp:extent cx="5753100" cy="3514725"/>
            <wp:effectExtent l="0" t="0" r="19050" b="9525"/>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80C939" w14:textId="13F5B118" w:rsidR="00AD7E7B" w:rsidRDefault="00AD7E7B" w:rsidP="00782E5E">
      <w:pPr>
        <w:spacing w:after="240" w:line="276" w:lineRule="auto"/>
        <w:rPr>
          <w:rFonts w:asciiTheme="majorHAnsi" w:hAnsiTheme="majorHAnsi" w:cs="Arial"/>
          <w:b/>
          <w:sz w:val="20"/>
          <w:szCs w:val="20"/>
          <w:lang w:val="fr-FR"/>
        </w:rPr>
      </w:pPr>
      <w:r w:rsidRPr="007F7AAE">
        <w:rPr>
          <w:rFonts w:asciiTheme="majorHAnsi" w:hAnsiTheme="majorHAnsi" w:cs="Arial"/>
          <w:b/>
          <w:sz w:val="20"/>
          <w:szCs w:val="20"/>
          <w:lang w:val="fr-FR"/>
        </w:rPr>
        <w:t xml:space="preserve">Deutsche </w:t>
      </w:r>
      <w:proofErr w:type="spellStart"/>
      <w:r w:rsidRPr="007F7AAE">
        <w:rPr>
          <w:rFonts w:asciiTheme="majorHAnsi" w:hAnsiTheme="majorHAnsi" w:cs="Arial"/>
          <w:b/>
          <w:sz w:val="20"/>
          <w:szCs w:val="20"/>
          <w:lang w:val="fr-FR"/>
        </w:rPr>
        <w:t>Rohstoffexpor</w:t>
      </w:r>
      <w:r w:rsidR="0064464A">
        <w:rPr>
          <w:rFonts w:asciiTheme="majorHAnsi" w:hAnsiTheme="majorHAnsi" w:cs="Arial"/>
          <w:b/>
          <w:sz w:val="20"/>
          <w:szCs w:val="20"/>
          <w:lang w:val="fr-FR"/>
        </w:rPr>
        <w:t>te</w:t>
      </w:r>
      <w:proofErr w:type="spellEnd"/>
      <w:r w:rsidR="0064464A">
        <w:rPr>
          <w:rFonts w:asciiTheme="majorHAnsi" w:hAnsiTheme="majorHAnsi" w:cs="Arial"/>
          <w:b/>
          <w:sz w:val="20"/>
          <w:szCs w:val="20"/>
          <w:lang w:val="fr-FR"/>
        </w:rPr>
        <w:t xml:space="preserve"> 2012 - 2016</w:t>
      </w:r>
    </w:p>
    <w:p w14:paraId="6A48BF88" w14:textId="2C1D8DC0" w:rsidR="003639A7" w:rsidRDefault="003639A7" w:rsidP="00782E5E">
      <w:pPr>
        <w:spacing w:after="240" w:line="276" w:lineRule="auto"/>
        <w:rPr>
          <w:rFonts w:asciiTheme="majorHAnsi" w:hAnsiTheme="majorHAnsi" w:cs="Arial"/>
          <w:b/>
          <w:sz w:val="20"/>
          <w:szCs w:val="20"/>
          <w:lang w:val="fr-FR"/>
        </w:rPr>
      </w:pPr>
      <w:r>
        <w:rPr>
          <w:noProof/>
        </w:rPr>
        <w:drawing>
          <wp:inline distT="0" distB="0" distL="0" distR="0" wp14:anchorId="04D3D525" wp14:editId="22BC06DE">
            <wp:extent cx="5756910" cy="2599974"/>
            <wp:effectExtent l="0" t="0" r="15240" b="1016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E8AFDB" w14:textId="3A0D13C4" w:rsidR="003639A7" w:rsidRPr="005A2A1D" w:rsidRDefault="003639A7" w:rsidP="00782E5E">
      <w:pPr>
        <w:spacing w:after="240" w:line="276" w:lineRule="auto"/>
        <w:rPr>
          <w:rFonts w:asciiTheme="majorHAnsi" w:hAnsiTheme="majorHAnsi" w:cs="Arial"/>
          <w:b/>
          <w:sz w:val="20"/>
          <w:szCs w:val="20"/>
        </w:rPr>
      </w:pPr>
      <w:r w:rsidRPr="005A2A1D">
        <w:rPr>
          <w:rFonts w:asciiTheme="majorHAnsi" w:hAnsiTheme="majorHAnsi" w:cs="Arial"/>
          <w:b/>
          <w:sz w:val="20"/>
          <w:szCs w:val="20"/>
        </w:rPr>
        <w:t>Deutsche Rohstoffexporte 2012 - 2016</w:t>
      </w:r>
    </w:p>
    <w:p w14:paraId="48F19CC5" w14:textId="77777777" w:rsidR="00AD7E7B" w:rsidRPr="007F7AAE" w:rsidRDefault="00AD7E7B" w:rsidP="00FA5658">
      <w:pPr>
        <w:autoSpaceDE w:val="0"/>
        <w:autoSpaceDN w:val="0"/>
        <w:adjustRightInd w:val="0"/>
        <w:spacing w:after="240" w:line="276" w:lineRule="auto"/>
        <w:rPr>
          <w:rFonts w:asciiTheme="majorHAnsi" w:hAnsiTheme="majorHAnsi" w:cs="Arial"/>
          <w:sz w:val="22"/>
          <w:szCs w:val="22"/>
        </w:rPr>
      </w:pPr>
      <w:r w:rsidRPr="007F7AAE">
        <w:rPr>
          <w:rFonts w:asciiTheme="majorHAnsi" w:hAnsiTheme="majorHAnsi" w:cs="Arial"/>
          <w:i/>
          <w:sz w:val="22"/>
          <w:szCs w:val="22"/>
        </w:rPr>
        <w:t>Daten einsehen</w:t>
      </w:r>
      <w:r w:rsidRPr="007F7AAE">
        <w:rPr>
          <w:rFonts w:asciiTheme="majorHAnsi" w:hAnsiTheme="majorHAnsi" w:cs="Arial"/>
          <w:sz w:val="22"/>
          <w:szCs w:val="22"/>
        </w:rPr>
        <w:t xml:space="preserve">: </w:t>
      </w:r>
    </w:p>
    <w:p w14:paraId="78180256" w14:textId="53D71180" w:rsidR="00AD7E7B" w:rsidRPr="007F7AAE" w:rsidRDefault="00AD7E7B" w:rsidP="00E00706">
      <w:pPr>
        <w:spacing w:line="276" w:lineRule="auto"/>
        <w:rPr>
          <w:rFonts w:asciiTheme="majorHAnsi" w:eastAsia="Times New Roman" w:hAnsiTheme="majorHAnsi" w:cs="Arial"/>
          <w:b/>
          <w:bCs/>
          <w:color w:val="2B2B2D"/>
          <w:sz w:val="22"/>
          <w:szCs w:val="22"/>
        </w:rPr>
      </w:pPr>
      <w:r w:rsidRPr="007F7AAE">
        <w:rPr>
          <w:rFonts w:asciiTheme="majorHAnsi" w:hAnsiTheme="majorHAnsi" w:cs="Arial"/>
          <w:sz w:val="22"/>
          <w:szCs w:val="22"/>
        </w:rPr>
        <w:t>Die Daten zu den deutschen Rohstoffexporten basieren auf Angaben zu den Güterabteilungen (GP09-05 bis GP09-08) des Güterverzeichnisses für Produktionsstatistiken vom Statistischen Bundesamt. Die Daten der Exporte von 201</w:t>
      </w:r>
      <w:r w:rsidR="00081043">
        <w:rPr>
          <w:rFonts w:asciiTheme="majorHAnsi" w:hAnsiTheme="majorHAnsi" w:cs="Arial"/>
          <w:sz w:val="22"/>
          <w:szCs w:val="22"/>
        </w:rPr>
        <w:t>2</w:t>
      </w:r>
      <w:r w:rsidRPr="007F7AAE">
        <w:rPr>
          <w:rFonts w:asciiTheme="majorHAnsi" w:hAnsiTheme="majorHAnsi" w:cs="Arial"/>
          <w:sz w:val="22"/>
          <w:szCs w:val="22"/>
        </w:rPr>
        <w:t>-201</w:t>
      </w:r>
      <w:r w:rsidR="00081043">
        <w:rPr>
          <w:rFonts w:asciiTheme="majorHAnsi" w:hAnsiTheme="majorHAnsi" w:cs="Arial"/>
          <w:sz w:val="22"/>
          <w:szCs w:val="22"/>
        </w:rPr>
        <w:t>6</w:t>
      </w:r>
      <w:bookmarkStart w:id="4" w:name="_GoBack"/>
      <w:bookmarkEnd w:id="4"/>
      <w:r w:rsidRPr="007F7AAE">
        <w:rPr>
          <w:rFonts w:asciiTheme="majorHAnsi" w:hAnsiTheme="majorHAnsi" w:cs="Arial"/>
          <w:sz w:val="22"/>
          <w:szCs w:val="22"/>
        </w:rPr>
        <w:t xml:space="preserve"> wurden der </w:t>
      </w:r>
      <w:hyperlink r:id="rId14" w:history="1">
        <w:r w:rsidRPr="007F7AAE">
          <w:rPr>
            <w:rStyle w:val="Hyperlink"/>
            <w:rFonts w:asciiTheme="majorHAnsi" w:hAnsiTheme="majorHAnsi" w:cs="Arial"/>
            <w:sz w:val="22"/>
            <w:szCs w:val="22"/>
          </w:rPr>
          <w:t>Genesis-Online-Datenbank</w:t>
        </w:r>
      </w:hyperlink>
      <w:r w:rsidR="002F0B2A">
        <w:rPr>
          <w:rFonts w:asciiTheme="majorHAnsi" w:hAnsiTheme="majorHAnsi" w:cs="Arial"/>
          <w:sz w:val="22"/>
          <w:szCs w:val="22"/>
        </w:rPr>
        <w:t xml:space="preserve"> von </w:t>
      </w:r>
      <w:proofErr w:type="spellStart"/>
      <w:r w:rsidR="002F0B2A">
        <w:rPr>
          <w:rFonts w:asciiTheme="majorHAnsi" w:hAnsiTheme="majorHAnsi" w:cs="Arial"/>
          <w:sz w:val="22"/>
          <w:szCs w:val="22"/>
        </w:rPr>
        <w:t>Destatis</w:t>
      </w:r>
      <w:proofErr w:type="spellEnd"/>
      <w:r w:rsidR="002F0B2A">
        <w:rPr>
          <w:rFonts w:asciiTheme="majorHAnsi" w:hAnsiTheme="majorHAnsi" w:cs="Arial"/>
          <w:sz w:val="22"/>
          <w:szCs w:val="22"/>
        </w:rPr>
        <w:t xml:space="preserve"> am 26.05</w:t>
      </w:r>
      <w:r w:rsidRPr="007F7AAE">
        <w:rPr>
          <w:rFonts w:asciiTheme="majorHAnsi" w:hAnsiTheme="majorHAnsi" w:cs="Arial"/>
          <w:sz w:val="22"/>
          <w:szCs w:val="22"/>
        </w:rPr>
        <w:t>.201</w:t>
      </w:r>
      <w:r w:rsidR="002F0B2A">
        <w:rPr>
          <w:rFonts w:asciiTheme="majorHAnsi" w:hAnsiTheme="majorHAnsi" w:cs="Arial"/>
          <w:sz w:val="22"/>
          <w:szCs w:val="22"/>
        </w:rPr>
        <w:t>7</w:t>
      </w:r>
      <w:r w:rsidRPr="007F7AAE">
        <w:rPr>
          <w:rFonts w:asciiTheme="majorHAnsi" w:hAnsiTheme="majorHAnsi" w:cs="Arial"/>
          <w:sz w:val="22"/>
          <w:szCs w:val="22"/>
        </w:rPr>
        <w:t xml:space="preserve"> entnommen. Die Daten für 2015 sind auf der </w:t>
      </w:r>
      <w:hyperlink r:id="rId15" w:history="1">
        <w:r w:rsidRPr="007F7AAE">
          <w:rPr>
            <w:rStyle w:val="Hyperlink"/>
            <w:rFonts w:asciiTheme="majorHAnsi" w:hAnsiTheme="majorHAnsi" w:cs="Arial"/>
            <w:sz w:val="22"/>
            <w:szCs w:val="22"/>
          </w:rPr>
          <w:t>Website</w:t>
        </w:r>
      </w:hyperlink>
      <w:r w:rsidRPr="007F7AAE">
        <w:rPr>
          <w:rFonts w:asciiTheme="majorHAnsi" w:hAnsiTheme="majorHAnsi" w:cs="Arial"/>
          <w:sz w:val="22"/>
          <w:szCs w:val="22"/>
        </w:rPr>
        <w:t xml:space="preserve"> des Statistischen Bundesamtes abrufbar. (EXCEL) </w:t>
      </w:r>
    </w:p>
    <w:p w14:paraId="4C713CD6" w14:textId="5A6DCCC2" w:rsidR="00AD7E7B" w:rsidRPr="007F7AAE" w:rsidRDefault="00AD7E7B" w:rsidP="001411DB">
      <w:pPr>
        <w:spacing w:before="240" w:after="240" w:line="276" w:lineRule="auto"/>
        <w:rPr>
          <w:rFonts w:asciiTheme="majorHAnsi" w:hAnsiTheme="majorHAnsi" w:cs="Arial"/>
          <w:sz w:val="28"/>
          <w:szCs w:val="28"/>
        </w:rPr>
      </w:pPr>
    </w:p>
    <w:p w14:paraId="2F37ABF8" w14:textId="0C74903D" w:rsidR="00AD7E7B" w:rsidRPr="007F7AAE" w:rsidRDefault="00C4587F" w:rsidP="001411DB">
      <w:pPr>
        <w:pStyle w:val="berschrift1"/>
        <w:spacing w:before="0" w:line="276" w:lineRule="auto"/>
      </w:pPr>
      <w:bookmarkStart w:id="5" w:name="_Toc474509184"/>
      <w:r w:rsidRPr="007F7AAE">
        <w:t>5</w:t>
      </w:r>
      <w:r w:rsidR="00C27148" w:rsidRPr="007F7AAE">
        <w:t>.d</w:t>
      </w:r>
      <w:r w:rsidR="00C27148" w:rsidRPr="007F7AAE">
        <w:tab/>
      </w:r>
      <w:r w:rsidR="009725B8" w:rsidRPr="007F7AAE">
        <w:t>Beschäftigung</w:t>
      </w:r>
      <w:bookmarkEnd w:id="5"/>
    </w:p>
    <w:p w14:paraId="05CD14DA" w14:textId="77777777" w:rsidR="00AD7E7B" w:rsidRPr="007F7AAE" w:rsidRDefault="00AD7E7B" w:rsidP="002446C3">
      <w:pPr>
        <w:spacing w:after="240" w:line="276" w:lineRule="auto"/>
        <w:rPr>
          <w:rFonts w:asciiTheme="majorHAnsi" w:hAnsiTheme="majorHAnsi" w:cs="Arial"/>
          <w:sz w:val="28"/>
          <w:szCs w:val="28"/>
        </w:rPr>
      </w:pPr>
    </w:p>
    <w:p w14:paraId="27A594D0" w14:textId="77777777" w:rsidR="00AD7E7B" w:rsidRPr="007F7AAE" w:rsidRDefault="00AD7E7B" w:rsidP="000B0D34">
      <w:pPr>
        <w:spacing w:line="276" w:lineRule="auto"/>
        <w:rPr>
          <w:rFonts w:asciiTheme="majorHAnsi" w:hAnsiTheme="majorHAnsi" w:cs="Arial"/>
          <w:sz w:val="22"/>
          <w:szCs w:val="22"/>
        </w:rPr>
      </w:pPr>
      <w:r w:rsidRPr="007F7AAE">
        <w:rPr>
          <w:rFonts w:asciiTheme="majorHAnsi" w:hAnsiTheme="majorHAnsi" w:cs="Arial"/>
          <w:sz w:val="22"/>
          <w:szCs w:val="22"/>
        </w:rPr>
        <w:t>Die Beschäftigten in der rohstoffgewinnenden Industrie  gehen einer Vielzahl von unterschiedlichen Beschäftigungen nach. So arbeiten beispielsweise Ingenieure im Marktscheidewesen an der Erku</w:t>
      </w:r>
      <w:r w:rsidRPr="007F7AAE">
        <w:rPr>
          <w:rFonts w:asciiTheme="majorHAnsi" w:hAnsiTheme="majorHAnsi" w:cs="Arial"/>
          <w:sz w:val="22"/>
          <w:szCs w:val="22"/>
        </w:rPr>
        <w:t>n</w:t>
      </w:r>
      <w:r w:rsidRPr="007F7AAE">
        <w:rPr>
          <w:rFonts w:asciiTheme="majorHAnsi" w:hAnsiTheme="majorHAnsi" w:cs="Arial"/>
          <w:sz w:val="22"/>
          <w:szCs w:val="22"/>
        </w:rPr>
        <w:t>dung und Vermessung von Vorkommen, Rohstoffingenieure und Geotechniker am Aufbau und B</w:t>
      </w:r>
      <w:r w:rsidRPr="007F7AAE">
        <w:rPr>
          <w:rFonts w:asciiTheme="majorHAnsi" w:hAnsiTheme="majorHAnsi" w:cs="Arial"/>
          <w:sz w:val="22"/>
          <w:szCs w:val="22"/>
        </w:rPr>
        <w:t>e</w:t>
      </w:r>
      <w:r w:rsidRPr="007F7AAE">
        <w:rPr>
          <w:rFonts w:asciiTheme="majorHAnsi" w:hAnsiTheme="majorHAnsi" w:cs="Arial"/>
          <w:sz w:val="22"/>
          <w:szCs w:val="22"/>
        </w:rPr>
        <w:t>trieb der technischen Anlagen und Bergbautechnologen führen den Abbau im Tage- und Untertag</w:t>
      </w:r>
      <w:r w:rsidRPr="007F7AAE">
        <w:rPr>
          <w:rFonts w:asciiTheme="majorHAnsi" w:hAnsiTheme="majorHAnsi" w:cs="Arial"/>
          <w:sz w:val="22"/>
          <w:szCs w:val="22"/>
        </w:rPr>
        <w:t>e</w:t>
      </w:r>
      <w:r w:rsidRPr="007F7AAE">
        <w:rPr>
          <w:rFonts w:asciiTheme="majorHAnsi" w:hAnsiTheme="majorHAnsi" w:cs="Arial"/>
          <w:sz w:val="22"/>
          <w:szCs w:val="22"/>
        </w:rPr>
        <w:t xml:space="preserve">bau durch. Insgesamt  beschäftigten die Unternehmen der rohstoffgewinnenden Industrie 2015 in Deutschland  57.177 </w:t>
      </w:r>
      <w:proofErr w:type="spellStart"/>
      <w:r w:rsidRPr="007F7AAE">
        <w:rPr>
          <w:rFonts w:asciiTheme="majorHAnsi" w:hAnsiTheme="majorHAnsi" w:cs="Arial"/>
          <w:sz w:val="22"/>
          <w:szCs w:val="22"/>
        </w:rPr>
        <w:t>MitarbeiterInnen</w:t>
      </w:r>
      <w:proofErr w:type="spellEnd"/>
      <w:r w:rsidRPr="007F7AAE">
        <w:rPr>
          <w:rFonts w:asciiTheme="majorHAnsi" w:hAnsiTheme="majorHAnsi" w:cs="Arial"/>
          <w:sz w:val="22"/>
          <w:szCs w:val="22"/>
        </w:rPr>
        <w:t xml:space="preserve">. Dies entspricht einem Anteil von 0,14% an der </w:t>
      </w:r>
      <w:proofErr w:type="spellStart"/>
      <w:r w:rsidRPr="007F7AAE">
        <w:rPr>
          <w:rFonts w:asciiTheme="majorHAnsi" w:hAnsiTheme="majorHAnsi" w:cs="Arial"/>
          <w:sz w:val="22"/>
          <w:szCs w:val="22"/>
        </w:rPr>
        <w:t>Gesamtb</w:t>
      </w:r>
      <w:r w:rsidRPr="007F7AAE">
        <w:rPr>
          <w:rFonts w:asciiTheme="majorHAnsi" w:hAnsiTheme="majorHAnsi" w:cs="Arial"/>
          <w:sz w:val="22"/>
          <w:szCs w:val="22"/>
        </w:rPr>
        <w:t>e</w:t>
      </w:r>
      <w:r w:rsidRPr="007F7AAE">
        <w:rPr>
          <w:rFonts w:asciiTheme="majorHAnsi" w:hAnsiTheme="majorHAnsi" w:cs="Arial"/>
          <w:sz w:val="22"/>
          <w:szCs w:val="22"/>
        </w:rPr>
        <w:t>schäftigtigung</w:t>
      </w:r>
      <w:proofErr w:type="spellEnd"/>
      <w:r w:rsidRPr="007F7AAE">
        <w:rPr>
          <w:rFonts w:asciiTheme="majorHAnsi" w:hAnsiTheme="majorHAnsi" w:cs="Arial"/>
          <w:sz w:val="22"/>
          <w:szCs w:val="22"/>
        </w:rPr>
        <w:t xml:space="preserve"> in Deutschland, wobei ein Großteil der Angestellten auf den Braunkohlen- und Stei</w:t>
      </w:r>
      <w:r w:rsidRPr="007F7AAE">
        <w:rPr>
          <w:rFonts w:asciiTheme="majorHAnsi" w:hAnsiTheme="majorHAnsi" w:cs="Arial"/>
          <w:sz w:val="22"/>
          <w:szCs w:val="22"/>
        </w:rPr>
        <w:t>n</w:t>
      </w:r>
      <w:r w:rsidRPr="007F7AAE">
        <w:rPr>
          <w:rFonts w:asciiTheme="majorHAnsi" w:hAnsiTheme="majorHAnsi" w:cs="Arial"/>
          <w:sz w:val="22"/>
          <w:szCs w:val="22"/>
        </w:rPr>
        <w:t>kohlenbergbau sowie den Salzbergbau entfällt. Diese Zahlen schließen  für den gleichen Zeitraum zudem insgesamt 2711 Auszubildende in den bergbaulichen Betrieben. Ein weiterer wichtiger B</w:t>
      </w:r>
      <w:r w:rsidRPr="007F7AAE">
        <w:rPr>
          <w:rFonts w:asciiTheme="majorHAnsi" w:hAnsiTheme="majorHAnsi" w:cs="Arial"/>
          <w:sz w:val="22"/>
          <w:szCs w:val="22"/>
        </w:rPr>
        <w:t>e</w:t>
      </w:r>
      <w:r w:rsidRPr="007F7AAE">
        <w:rPr>
          <w:rFonts w:asciiTheme="majorHAnsi" w:hAnsiTheme="majorHAnsi" w:cs="Arial"/>
          <w:sz w:val="22"/>
          <w:szCs w:val="22"/>
        </w:rPr>
        <w:t>schäftigungsfaktor sind die Sekundäreffekte des rohstoffgewinnenden Sektors, durch die zusätzliche Arbeits- und Ausbildungsplätze geschaffen werden. Hierzu gehören insbesondere die Dienstleistu</w:t>
      </w:r>
      <w:r w:rsidRPr="007F7AAE">
        <w:rPr>
          <w:rFonts w:asciiTheme="majorHAnsi" w:hAnsiTheme="majorHAnsi" w:cs="Arial"/>
          <w:sz w:val="22"/>
          <w:szCs w:val="22"/>
        </w:rPr>
        <w:t>n</w:t>
      </w:r>
      <w:r w:rsidRPr="007F7AAE">
        <w:rPr>
          <w:rFonts w:asciiTheme="majorHAnsi" w:hAnsiTheme="majorHAnsi" w:cs="Arial"/>
          <w:sz w:val="22"/>
          <w:szCs w:val="22"/>
        </w:rPr>
        <w:t xml:space="preserve">gen der Zulieferer und Subunternehmer welche beispielweise mit der </w:t>
      </w:r>
      <w:proofErr w:type="spellStart"/>
      <w:r w:rsidRPr="007F7AAE">
        <w:rPr>
          <w:rFonts w:asciiTheme="majorHAnsi" w:hAnsiTheme="majorHAnsi" w:cs="Arial"/>
          <w:sz w:val="22"/>
          <w:szCs w:val="22"/>
        </w:rPr>
        <w:t>Übername</w:t>
      </w:r>
      <w:proofErr w:type="spellEnd"/>
      <w:r w:rsidRPr="007F7AAE">
        <w:rPr>
          <w:rFonts w:asciiTheme="majorHAnsi" w:hAnsiTheme="majorHAnsi" w:cs="Arial"/>
          <w:sz w:val="22"/>
          <w:szCs w:val="22"/>
        </w:rPr>
        <w:t xml:space="preserve"> von logistischen und gastronomischen Aufgaben oder dem Bau und Betrieb von Förderstätten beauftragt werden.</w:t>
      </w:r>
    </w:p>
    <w:p w14:paraId="164AAA16" w14:textId="77777777" w:rsidR="00AD7E7B" w:rsidRPr="007F7AAE" w:rsidRDefault="00AD7E7B" w:rsidP="00CD4D2F">
      <w:pPr>
        <w:spacing w:after="240" w:line="276" w:lineRule="auto"/>
        <w:rPr>
          <w:rFonts w:asciiTheme="majorHAnsi" w:hAnsiTheme="majorHAnsi" w:cs="Arial"/>
          <w:sz w:val="22"/>
          <w:szCs w:val="22"/>
        </w:rPr>
      </w:pPr>
    </w:p>
    <w:p w14:paraId="496BBC26" w14:textId="77777777" w:rsidR="00AD7E7B" w:rsidRPr="007F7AAE" w:rsidRDefault="00AD7E7B" w:rsidP="000B0D34">
      <w:pPr>
        <w:spacing w:line="276" w:lineRule="auto"/>
        <w:rPr>
          <w:rFonts w:asciiTheme="majorHAnsi" w:hAnsiTheme="majorHAnsi" w:cs="Arial"/>
          <w:b/>
          <w:sz w:val="20"/>
          <w:szCs w:val="20"/>
        </w:rPr>
      </w:pPr>
      <w:r w:rsidRPr="007F7AAE">
        <w:rPr>
          <w:rFonts w:asciiTheme="majorHAnsi" w:hAnsiTheme="majorHAnsi"/>
          <w:noProof/>
        </w:rPr>
        <w:drawing>
          <wp:inline distT="0" distB="0" distL="0" distR="0" wp14:anchorId="13AC7AF8" wp14:editId="5AF64419">
            <wp:extent cx="4572000" cy="2743200"/>
            <wp:effectExtent l="0" t="0" r="19050" b="1905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1DD373" w14:textId="77777777" w:rsidR="00AD7E7B" w:rsidRPr="007F7AAE" w:rsidRDefault="00AD7E7B" w:rsidP="00CD4D2F">
      <w:pPr>
        <w:spacing w:after="240" w:line="276" w:lineRule="auto"/>
        <w:rPr>
          <w:rFonts w:asciiTheme="majorHAnsi" w:hAnsiTheme="majorHAnsi" w:cs="Arial"/>
          <w:b/>
          <w:sz w:val="22"/>
          <w:szCs w:val="22"/>
        </w:rPr>
      </w:pPr>
    </w:p>
    <w:p w14:paraId="6F66CFCC" w14:textId="77777777" w:rsidR="0047152A" w:rsidRPr="007F7AAE" w:rsidRDefault="0047152A" w:rsidP="00CD4D2F">
      <w:pPr>
        <w:spacing w:after="240" w:line="276" w:lineRule="auto"/>
        <w:rPr>
          <w:rFonts w:asciiTheme="majorHAnsi" w:hAnsiTheme="majorHAnsi" w:cs="Arial"/>
          <w:b/>
          <w:sz w:val="22"/>
          <w:szCs w:val="22"/>
        </w:rPr>
      </w:pPr>
    </w:p>
    <w:tbl>
      <w:tblPr>
        <w:tblStyle w:val="Tabellenraster"/>
        <w:tblW w:w="0" w:type="auto"/>
        <w:tblLook w:val="04A0" w:firstRow="1" w:lastRow="0" w:firstColumn="1" w:lastColumn="0" w:noHBand="0" w:noVBand="1"/>
      </w:tblPr>
      <w:tblGrid>
        <w:gridCol w:w="1946"/>
        <w:gridCol w:w="1404"/>
        <w:gridCol w:w="1468"/>
        <w:gridCol w:w="1403"/>
        <w:gridCol w:w="1457"/>
        <w:gridCol w:w="1604"/>
      </w:tblGrid>
      <w:tr w:rsidR="00AD7E7B" w:rsidRPr="007F7AAE" w14:paraId="4088CE78" w14:textId="77777777" w:rsidTr="00573912">
        <w:tc>
          <w:tcPr>
            <w:tcW w:w="1524" w:type="dxa"/>
            <w:vMerge w:val="restart"/>
          </w:tcPr>
          <w:p w14:paraId="2445ADDC" w14:textId="77777777" w:rsidR="00AD7E7B" w:rsidRPr="007F7AAE" w:rsidRDefault="00AD7E7B" w:rsidP="000B0D34">
            <w:pPr>
              <w:spacing w:line="276" w:lineRule="auto"/>
              <w:jc w:val="center"/>
              <w:rPr>
                <w:rFonts w:asciiTheme="majorHAnsi" w:hAnsiTheme="majorHAnsi" w:cs="Arial"/>
                <w:b/>
                <w:sz w:val="20"/>
                <w:szCs w:val="20"/>
              </w:rPr>
            </w:pPr>
          </w:p>
        </w:tc>
        <w:tc>
          <w:tcPr>
            <w:tcW w:w="7758" w:type="dxa"/>
            <w:gridSpan w:val="5"/>
          </w:tcPr>
          <w:p w14:paraId="202B848D" w14:textId="77777777" w:rsidR="00AD7E7B" w:rsidRPr="007F7AAE" w:rsidRDefault="00AD7E7B" w:rsidP="000B0D34">
            <w:pPr>
              <w:spacing w:line="276" w:lineRule="auto"/>
              <w:jc w:val="center"/>
              <w:rPr>
                <w:rFonts w:asciiTheme="majorHAnsi" w:hAnsiTheme="majorHAnsi" w:cs="Arial"/>
                <w:b/>
                <w:sz w:val="20"/>
                <w:szCs w:val="20"/>
              </w:rPr>
            </w:pPr>
            <w:r w:rsidRPr="007F7AAE">
              <w:rPr>
                <w:rFonts w:asciiTheme="majorHAnsi" w:hAnsiTheme="majorHAnsi" w:cs="Arial"/>
                <w:b/>
                <w:sz w:val="20"/>
                <w:szCs w:val="20"/>
              </w:rPr>
              <w:t>Beschäftigte</w:t>
            </w:r>
          </w:p>
        </w:tc>
      </w:tr>
      <w:tr w:rsidR="00AD7E7B" w:rsidRPr="007F7AAE" w14:paraId="734EE42A" w14:textId="77777777" w:rsidTr="00573912">
        <w:tc>
          <w:tcPr>
            <w:tcW w:w="1524" w:type="dxa"/>
          </w:tcPr>
          <w:p w14:paraId="5B65A2BD" w14:textId="77777777" w:rsidR="00AD7E7B" w:rsidRPr="007F7AAE" w:rsidRDefault="00AD7E7B" w:rsidP="000B0D34">
            <w:pPr>
              <w:spacing w:line="276" w:lineRule="auto"/>
              <w:rPr>
                <w:rFonts w:asciiTheme="majorHAnsi" w:hAnsiTheme="majorHAnsi" w:cs="Arial"/>
                <w:b/>
                <w:sz w:val="20"/>
                <w:szCs w:val="20"/>
              </w:rPr>
            </w:pPr>
          </w:p>
        </w:tc>
        <w:tc>
          <w:tcPr>
            <w:tcW w:w="1528" w:type="dxa"/>
          </w:tcPr>
          <w:p w14:paraId="652121FF" w14:textId="77777777" w:rsidR="00AD7E7B" w:rsidRPr="007F7AAE" w:rsidRDefault="00AD7E7B" w:rsidP="000B0D34">
            <w:pPr>
              <w:spacing w:line="276" w:lineRule="auto"/>
              <w:jc w:val="center"/>
              <w:rPr>
                <w:rFonts w:asciiTheme="majorHAnsi" w:hAnsiTheme="majorHAnsi" w:cs="Arial"/>
                <w:sz w:val="20"/>
                <w:szCs w:val="20"/>
              </w:rPr>
            </w:pPr>
            <w:r w:rsidRPr="007F7AAE">
              <w:rPr>
                <w:rFonts w:asciiTheme="majorHAnsi" w:hAnsiTheme="majorHAnsi" w:cs="Arial"/>
                <w:sz w:val="20"/>
                <w:szCs w:val="20"/>
              </w:rPr>
              <w:t>unter Tage</w:t>
            </w:r>
          </w:p>
        </w:tc>
        <w:tc>
          <w:tcPr>
            <w:tcW w:w="1532" w:type="dxa"/>
          </w:tcPr>
          <w:p w14:paraId="43221EB6" w14:textId="77777777" w:rsidR="00AD7E7B" w:rsidRPr="007F7AAE" w:rsidRDefault="00AD7E7B" w:rsidP="000B0D34">
            <w:pPr>
              <w:spacing w:line="276" w:lineRule="auto"/>
              <w:jc w:val="center"/>
              <w:rPr>
                <w:rFonts w:asciiTheme="majorHAnsi" w:hAnsiTheme="majorHAnsi" w:cs="Arial"/>
                <w:sz w:val="20"/>
                <w:szCs w:val="20"/>
              </w:rPr>
            </w:pPr>
            <w:r w:rsidRPr="007F7AAE">
              <w:rPr>
                <w:rFonts w:asciiTheme="majorHAnsi" w:hAnsiTheme="majorHAnsi" w:cs="Arial"/>
                <w:sz w:val="20"/>
                <w:szCs w:val="20"/>
              </w:rPr>
              <w:t>in Tagebauen</w:t>
            </w:r>
          </w:p>
        </w:tc>
        <w:tc>
          <w:tcPr>
            <w:tcW w:w="1527" w:type="dxa"/>
          </w:tcPr>
          <w:p w14:paraId="0F00F540" w14:textId="77777777" w:rsidR="00AD7E7B" w:rsidRPr="007F7AAE" w:rsidRDefault="00AD7E7B" w:rsidP="000B0D34">
            <w:pPr>
              <w:spacing w:line="276" w:lineRule="auto"/>
              <w:jc w:val="center"/>
              <w:rPr>
                <w:rFonts w:asciiTheme="majorHAnsi" w:hAnsiTheme="majorHAnsi" w:cs="Arial"/>
                <w:sz w:val="20"/>
                <w:szCs w:val="20"/>
              </w:rPr>
            </w:pPr>
            <w:r w:rsidRPr="007F7AAE">
              <w:rPr>
                <w:rFonts w:asciiTheme="majorHAnsi" w:hAnsiTheme="majorHAnsi" w:cs="Arial"/>
                <w:sz w:val="20"/>
                <w:szCs w:val="20"/>
              </w:rPr>
              <w:t>über Tage</w:t>
            </w:r>
          </w:p>
        </w:tc>
        <w:tc>
          <w:tcPr>
            <w:tcW w:w="1532" w:type="dxa"/>
          </w:tcPr>
          <w:p w14:paraId="32CD5684" w14:textId="77777777" w:rsidR="00AD7E7B" w:rsidRPr="007F7AAE" w:rsidRDefault="00AD7E7B" w:rsidP="000B0D34">
            <w:pPr>
              <w:spacing w:line="276" w:lineRule="auto"/>
              <w:jc w:val="center"/>
              <w:rPr>
                <w:rFonts w:asciiTheme="majorHAnsi" w:hAnsiTheme="majorHAnsi" w:cs="Arial"/>
                <w:sz w:val="20"/>
                <w:szCs w:val="20"/>
              </w:rPr>
            </w:pPr>
            <w:r w:rsidRPr="007F7AAE">
              <w:rPr>
                <w:rFonts w:asciiTheme="majorHAnsi" w:hAnsiTheme="majorHAnsi" w:cs="Arial"/>
                <w:sz w:val="20"/>
                <w:szCs w:val="20"/>
              </w:rPr>
              <w:t>Insgesamt</w:t>
            </w:r>
          </w:p>
        </w:tc>
        <w:tc>
          <w:tcPr>
            <w:tcW w:w="1639" w:type="dxa"/>
          </w:tcPr>
          <w:p w14:paraId="0A7CDD9F" w14:textId="77777777" w:rsidR="00AD7E7B" w:rsidRPr="007F7AAE" w:rsidRDefault="00AD7E7B" w:rsidP="000B0D34">
            <w:pPr>
              <w:spacing w:line="276" w:lineRule="auto"/>
              <w:jc w:val="center"/>
              <w:rPr>
                <w:rFonts w:asciiTheme="majorHAnsi" w:hAnsiTheme="majorHAnsi" w:cs="Arial"/>
                <w:sz w:val="20"/>
                <w:szCs w:val="20"/>
              </w:rPr>
            </w:pPr>
            <w:r w:rsidRPr="007F7AAE">
              <w:rPr>
                <w:rFonts w:asciiTheme="majorHAnsi" w:hAnsiTheme="majorHAnsi" w:cs="Arial"/>
                <w:sz w:val="20"/>
                <w:szCs w:val="20"/>
              </w:rPr>
              <w:t>darunter Ausz</w:t>
            </w:r>
            <w:r w:rsidRPr="007F7AAE">
              <w:rPr>
                <w:rFonts w:asciiTheme="majorHAnsi" w:hAnsiTheme="majorHAnsi" w:cs="Arial"/>
                <w:sz w:val="20"/>
                <w:szCs w:val="20"/>
              </w:rPr>
              <w:t>u</w:t>
            </w:r>
            <w:r w:rsidRPr="007F7AAE">
              <w:rPr>
                <w:rFonts w:asciiTheme="majorHAnsi" w:hAnsiTheme="majorHAnsi" w:cs="Arial"/>
                <w:sz w:val="20"/>
                <w:szCs w:val="20"/>
              </w:rPr>
              <w:t>bildende</w:t>
            </w:r>
          </w:p>
        </w:tc>
      </w:tr>
      <w:tr w:rsidR="00AD7E7B" w:rsidRPr="007F7AAE" w14:paraId="0373C2F6" w14:textId="77777777" w:rsidTr="00573912">
        <w:tc>
          <w:tcPr>
            <w:tcW w:w="1524" w:type="dxa"/>
          </w:tcPr>
          <w:p w14:paraId="3494236F"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Steinkohlebergbau</w:t>
            </w:r>
          </w:p>
        </w:tc>
        <w:tc>
          <w:tcPr>
            <w:tcW w:w="1528" w:type="dxa"/>
          </w:tcPr>
          <w:p w14:paraId="32201CB0"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3956</w:t>
            </w:r>
          </w:p>
        </w:tc>
        <w:tc>
          <w:tcPr>
            <w:tcW w:w="1532" w:type="dxa"/>
          </w:tcPr>
          <w:p w14:paraId="14F94ABB" w14:textId="77777777" w:rsidR="00AD7E7B" w:rsidRPr="007F7AAE" w:rsidRDefault="00AD7E7B" w:rsidP="000B0D34">
            <w:pPr>
              <w:spacing w:line="276" w:lineRule="auto"/>
              <w:rPr>
                <w:rFonts w:asciiTheme="majorHAnsi" w:hAnsiTheme="majorHAnsi" w:cs="Arial"/>
                <w:sz w:val="20"/>
                <w:szCs w:val="20"/>
              </w:rPr>
            </w:pPr>
          </w:p>
        </w:tc>
        <w:tc>
          <w:tcPr>
            <w:tcW w:w="1527" w:type="dxa"/>
          </w:tcPr>
          <w:p w14:paraId="3AB4A3A7"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6025</w:t>
            </w:r>
          </w:p>
        </w:tc>
        <w:tc>
          <w:tcPr>
            <w:tcW w:w="1532" w:type="dxa"/>
          </w:tcPr>
          <w:p w14:paraId="3EF70E97"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9981</w:t>
            </w:r>
          </w:p>
        </w:tc>
        <w:tc>
          <w:tcPr>
            <w:tcW w:w="1639" w:type="dxa"/>
          </w:tcPr>
          <w:p w14:paraId="26F7974A"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464</w:t>
            </w:r>
          </w:p>
        </w:tc>
      </w:tr>
      <w:tr w:rsidR="00AD7E7B" w:rsidRPr="007F7AAE" w14:paraId="0DA3F295" w14:textId="77777777" w:rsidTr="00573912">
        <w:tc>
          <w:tcPr>
            <w:tcW w:w="1524" w:type="dxa"/>
          </w:tcPr>
          <w:p w14:paraId="0B0AF903"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Braunkohlebergbau</w:t>
            </w:r>
          </w:p>
        </w:tc>
        <w:tc>
          <w:tcPr>
            <w:tcW w:w="1528" w:type="dxa"/>
          </w:tcPr>
          <w:p w14:paraId="3EFFB0EC" w14:textId="77777777" w:rsidR="00AD7E7B" w:rsidRPr="007F7AAE" w:rsidRDefault="00AD7E7B" w:rsidP="000B0D34">
            <w:pPr>
              <w:spacing w:line="276" w:lineRule="auto"/>
              <w:rPr>
                <w:rFonts w:asciiTheme="majorHAnsi" w:hAnsiTheme="majorHAnsi" w:cs="Arial"/>
                <w:sz w:val="20"/>
                <w:szCs w:val="20"/>
              </w:rPr>
            </w:pPr>
          </w:p>
        </w:tc>
        <w:tc>
          <w:tcPr>
            <w:tcW w:w="1532" w:type="dxa"/>
          </w:tcPr>
          <w:p w14:paraId="7233167D"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8609</w:t>
            </w:r>
          </w:p>
        </w:tc>
        <w:tc>
          <w:tcPr>
            <w:tcW w:w="1527" w:type="dxa"/>
          </w:tcPr>
          <w:p w14:paraId="2CF2A190"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6196</w:t>
            </w:r>
          </w:p>
        </w:tc>
        <w:tc>
          <w:tcPr>
            <w:tcW w:w="1532" w:type="dxa"/>
          </w:tcPr>
          <w:p w14:paraId="732CD738"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14805</w:t>
            </w:r>
          </w:p>
        </w:tc>
        <w:tc>
          <w:tcPr>
            <w:tcW w:w="1639" w:type="dxa"/>
          </w:tcPr>
          <w:p w14:paraId="1A496B3E"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906</w:t>
            </w:r>
          </w:p>
        </w:tc>
      </w:tr>
      <w:tr w:rsidR="00AD7E7B" w:rsidRPr="007F7AAE" w14:paraId="697D4226" w14:textId="77777777" w:rsidTr="00573912">
        <w:tc>
          <w:tcPr>
            <w:tcW w:w="1524" w:type="dxa"/>
          </w:tcPr>
          <w:p w14:paraId="659DF56D"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Braunkohlesanierung</w:t>
            </w:r>
          </w:p>
        </w:tc>
        <w:tc>
          <w:tcPr>
            <w:tcW w:w="1528" w:type="dxa"/>
          </w:tcPr>
          <w:p w14:paraId="77DD3262" w14:textId="77777777" w:rsidR="00AD7E7B" w:rsidRPr="007F7AAE" w:rsidRDefault="00AD7E7B" w:rsidP="000B0D34">
            <w:pPr>
              <w:spacing w:line="276" w:lineRule="auto"/>
              <w:rPr>
                <w:rFonts w:asciiTheme="majorHAnsi" w:hAnsiTheme="majorHAnsi" w:cs="Arial"/>
                <w:sz w:val="20"/>
                <w:szCs w:val="20"/>
              </w:rPr>
            </w:pPr>
          </w:p>
        </w:tc>
        <w:tc>
          <w:tcPr>
            <w:tcW w:w="1532" w:type="dxa"/>
          </w:tcPr>
          <w:p w14:paraId="7BE2C6FE" w14:textId="77777777" w:rsidR="00AD7E7B" w:rsidRPr="007F7AAE" w:rsidRDefault="00AD7E7B" w:rsidP="000B0D34">
            <w:pPr>
              <w:spacing w:line="276" w:lineRule="auto"/>
              <w:rPr>
                <w:rFonts w:asciiTheme="majorHAnsi" w:hAnsiTheme="majorHAnsi" w:cs="Arial"/>
                <w:sz w:val="20"/>
                <w:szCs w:val="20"/>
              </w:rPr>
            </w:pPr>
          </w:p>
        </w:tc>
        <w:tc>
          <w:tcPr>
            <w:tcW w:w="1527" w:type="dxa"/>
          </w:tcPr>
          <w:p w14:paraId="45F905F8"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626</w:t>
            </w:r>
          </w:p>
        </w:tc>
        <w:tc>
          <w:tcPr>
            <w:tcW w:w="1532" w:type="dxa"/>
          </w:tcPr>
          <w:p w14:paraId="7D66D322"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626</w:t>
            </w:r>
          </w:p>
        </w:tc>
        <w:tc>
          <w:tcPr>
            <w:tcW w:w="1639" w:type="dxa"/>
          </w:tcPr>
          <w:p w14:paraId="6CBEA999"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34</w:t>
            </w:r>
          </w:p>
        </w:tc>
      </w:tr>
      <w:tr w:rsidR="00AD7E7B" w:rsidRPr="007F7AAE" w14:paraId="26C0CA1F" w14:textId="77777777" w:rsidTr="00573912">
        <w:tc>
          <w:tcPr>
            <w:tcW w:w="1524" w:type="dxa"/>
          </w:tcPr>
          <w:p w14:paraId="055F977B"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lastRenderedPageBreak/>
              <w:t>Erdölbergbau (ei</w:t>
            </w:r>
            <w:r w:rsidRPr="007F7AAE">
              <w:rPr>
                <w:rFonts w:asciiTheme="majorHAnsi" w:hAnsiTheme="majorHAnsi" w:cs="Arial"/>
                <w:sz w:val="20"/>
                <w:szCs w:val="20"/>
              </w:rPr>
              <w:t>n</w:t>
            </w:r>
            <w:r w:rsidRPr="007F7AAE">
              <w:rPr>
                <w:rFonts w:asciiTheme="majorHAnsi" w:hAnsiTheme="majorHAnsi" w:cs="Arial"/>
                <w:sz w:val="20"/>
                <w:szCs w:val="20"/>
              </w:rPr>
              <w:t>schl. Erdgas)</w:t>
            </w:r>
          </w:p>
        </w:tc>
        <w:tc>
          <w:tcPr>
            <w:tcW w:w="1528" w:type="dxa"/>
          </w:tcPr>
          <w:p w14:paraId="3F42FDD6" w14:textId="77777777" w:rsidR="00AD7E7B" w:rsidRPr="007F7AAE" w:rsidRDefault="00AD7E7B" w:rsidP="000B0D34">
            <w:pPr>
              <w:spacing w:line="276" w:lineRule="auto"/>
              <w:rPr>
                <w:rFonts w:asciiTheme="majorHAnsi" w:hAnsiTheme="majorHAnsi" w:cs="Arial"/>
                <w:sz w:val="20"/>
                <w:szCs w:val="20"/>
              </w:rPr>
            </w:pPr>
          </w:p>
        </w:tc>
        <w:tc>
          <w:tcPr>
            <w:tcW w:w="1532" w:type="dxa"/>
          </w:tcPr>
          <w:p w14:paraId="0810BE68" w14:textId="77777777" w:rsidR="00AD7E7B" w:rsidRPr="007F7AAE" w:rsidRDefault="00AD7E7B" w:rsidP="000B0D34">
            <w:pPr>
              <w:spacing w:line="276" w:lineRule="auto"/>
              <w:rPr>
                <w:rFonts w:asciiTheme="majorHAnsi" w:hAnsiTheme="majorHAnsi" w:cs="Arial"/>
                <w:sz w:val="20"/>
                <w:szCs w:val="20"/>
              </w:rPr>
            </w:pPr>
          </w:p>
        </w:tc>
        <w:tc>
          <w:tcPr>
            <w:tcW w:w="1527" w:type="dxa"/>
          </w:tcPr>
          <w:p w14:paraId="05655016"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3950</w:t>
            </w:r>
          </w:p>
        </w:tc>
        <w:tc>
          <w:tcPr>
            <w:tcW w:w="1532" w:type="dxa"/>
          </w:tcPr>
          <w:p w14:paraId="1ABE073A"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3950</w:t>
            </w:r>
          </w:p>
        </w:tc>
        <w:tc>
          <w:tcPr>
            <w:tcW w:w="1639" w:type="dxa"/>
          </w:tcPr>
          <w:p w14:paraId="07280E7F"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242</w:t>
            </w:r>
          </w:p>
        </w:tc>
      </w:tr>
      <w:tr w:rsidR="00AD7E7B" w:rsidRPr="007F7AAE" w14:paraId="29D145FA" w14:textId="77777777" w:rsidTr="00573912">
        <w:tc>
          <w:tcPr>
            <w:tcW w:w="1524" w:type="dxa"/>
          </w:tcPr>
          <w:p w14:paraId="4D16D2A4"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Salzbergbau und Industriesole</w:t>
            </w:r>
          </w:p>
        </w:tc>
        <w:tc>
          <w:tcPr>
            <w:tcW w:w="1528" w:type="dxa"/>
          </w:tcPr>
          <w:p w14:paraId="7F9BAD13"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5016</w:t>
            </w:r>
          </w:p>
        </w:tc>
        <w:tc>
          <w:tcPr>
            <w:tcW w:w="1532" w:type="dxa"/>
          </w:tcPr>
          <w:p w14:paraId="124BA765" w14:textId="77777777" w:rsidR="00AD7E7B" w:rsidRPr="007F7AAE" w:rsidRDefault="00AD7E7B" w:rsidP="000B0D34">
            <w:pPr>
              <w:spacing w:line="276" w:lineRule="auto"/>
              <w:rPr>
                <w:rFonts w:asciiTheme="majorHAnsi" w:hAnsiTheme="majorHAnsi" w:cs="Arial"/>
                <w:sz w:val="20"/>
                <w:szCs w:val="20"/>
              </w:rPr>
            </w:pPr>
          </w:p>
        </w:tc>
        <w:tc>
          <w:tcPr>
            <w:tcW w:w="1527" w:type="dxa"/>
          </w:tcPr>
          <w:p w14:paraId="7B6179F9"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5506</w:t>
            </w:r>
          </w:p>
        </w:tc>
        <w:tc>
          <w:tcPr>
            <w:tcW w:w="1532" w:type="dxa"/>
          </w:tcPr>
          <w:p w14:paraId="65912CB5"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10522</w:t>
            </w:r>
          </w:p>
        </w:tc>
        <w:tc>
          <w:tcPr>
            <w:tcW w:w="1639" w:type="dxa"/>
          </w:tcPr>
          <w:p w14:paraId="0D6D0123"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626</w:t>
            </w:r>
          </w:p>
        </w:tc>
      </w:tr>
      <w:tr w:rsidR="00AD7E7B" w:rsidRPr="007F7AAE" w14:paraId="4083B5E2" w14:textId="77777777" w:rsidTr="00573912">
        <w:tc>
          <w:tcPr>
            <w:tcW w:w="1524" w:type="dxa"/>
          </w:tcPr>
          <w:p w14:paraId="5C764C61"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Salinen</w:t>
            </w:r>
          </w:p>
        </w:tc>
        <w:tc>
          <w:tcPr>
            <w:tcW w:w="1528" w:type="dxa"/>
          </w:tcPr>
          <w:p w14:paraId="415D06CC" w14:textId="77777777" w:rsidR="00AD7E7B" w:rsidRPr="007F7AAE" w:rsidRDefault="00AD7E7B" w:rsidP="000B0D34">
            <w:pPr>
              <w:spacing w:line="276" w:lineRule="auto"/>
              <w:rPr>
                <w:rFonts w:asciiTheme="majorHAnsi" w:hAnsiTheme="majorHAnsi" w:cs="Arial"/>
                <w:sz w:val="20"/>
                <w:szCs w:val="20"/>
              </w:rPr>
            </w:pPr>
          </w:p>
        </w:tc>
        <w:tc>
          <w:tcPr>
            <w:tcW w:w="1532" w:type="dxa"/>
          </w:tcPr>
          <w:p w14:paraId="28DA869E" w14:textId="77777777" w:rsidR="00AD7E7B" w:rsidRPr="007F7AAE" w:rsidRDefault="00AD7E7B" w:rsidP="000B0D34">
            <w:pPr>
              <w:spacing w:line="276" w:lineRule="auto"/>
              <w:rPr>
                <w:rFonts w:asciiTheme="majorHAnsi" w:hAnsiTheme="majorHAnsi" w:cs="Arial"/>
                <w:sz w:val="20"/>
                <w:szCs w:val="20"/>
              </w:rPr>
            </w:pPr>
          </w:p>
        </w:tc>
        <w:tc>
          <w:tcPr>
            <w:tcW w:w="1527" w:type="dxa"/>
          </w:tcPr>
          <w:p w14:paraId="626B3250"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186</w:t>
            </w:r>
          </w:p>
        </w:tc>
        <w:tc>
          <w:tcPr>
            <w:tcW w:w="1532" w:type="dxa"/>
          </w:tcPr>
          <w:p w14:paraId="45761BE0"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186</w:t>
            </w:r>
          </w:p>
        </w:tc>
        <w:tc>
          <w:tcPr>
            <w:tcW w:w="1639" w:type="dxa"/>
          </w:tcPr>
          <w:p w14:paraId="5F184108"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11</w:t>
            </w:r>
          </w:p>
        </w:tc>
      </w:tr>
      <w:tr w:rsidR="00AD7E7B" w:rsidRPr="007F7AAE" w14:paraId="3C8A78B1" w14:textId="77777777" w:rsidTr="00573912">
        <w:tc>
          <w:tcPr>
            <w:tcW w:w="1524" w:type="dxa"/>
          </w:tcPr>
          <w:p w14:paraId="17E5811C"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Eisenerzbergbau</w:t>
            </w:r>
          </w:p>
        </w:tc>
        <w:tc>
          <w:tcPr>
            <w:tcW w:w="1528" w:type="dxa"/>
          </w:tcPr>
          <w:p w14:paraId="5A96D920"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27</w:t>
            </w:r>
          </w:p>
        </w:tc>
        <w:tc>
          <w:tcPr>
            <w:tcW w:w="1532" w:type="dxa"/>
          </w:tcPr>
          <w:p w14:paraId="6814852D"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w:t>
            </w:r>
          </w:p>
        </w:tc>
        <w:tc>
          <w:tcPr>
            <w:tcW w:w="1527" w:type="dxa"/>
          </w:tcPr>
          <w:p w14:paraId="76460668"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20</w:t>
            </w:r>
          </w:p>
        </w:tc>
        <w:tc>
          <w:tcPr>
            <w:tcW w:w="1532" w:type="dxa"/>
          </w:tcPr>
          <w:p w14:paraId="7770B5AB"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49</w:t>
            </w:r>
          </w:p>
        </w:tc>
        <w:tc>
          <w:tcPr>
            <w:tcW w:w="1639" w:type="dxa"/>
          </w:tcPr>
          <w:p w14:paraId="39F664EC"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w:t>
            </w:r>
          </w:p>
        </w:tc>
      </w:tr>
      <w:tr w:rsidR="00AD7E7B" w:rsidRPr="007F7AAE" w14:paraId="71B82EBB" w14:textId="77777777" w:rsidTr="00573912">
        <w:tc>
          <w:tcPr>
            <w:tcW w:w="1524" w:type="dxa"/>
          </w:tcPr>
          <w:p w14:paraId="2744F8AB"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NE-Bergbau</w:t>
            </w:r>
          </w:p>
        </w:tc>
        <w:tc>
          <w:tcPr>
            <w:tcW w:w="1528" w:type="dxa"/>
          </w:tcPr>
          <w:p w14:paraId="1C046DD9"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34</w:t>
            </w:r>
          </w:p>
        </w:tc>
        <w:tc>
          <w:tcPr>
            <w:tcW w:w="1532" w:type="dxa"/>
          </w:tcPr>
          <w:p w14:paraId="70F6DA5F"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16</w:t>
            </w:r>
          </w:p>
        </w:tc>
        <w:tc>
          <w:tcPr>
            <w:tcW w:w="1527" w:type="dxa"/>
          </w:tcPr>
          <w:p w14:paraId="492465B9"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795</w:t>
            </w:r>
          </w:p>
        </w:tc>
        <w:tc>
          <w:tcPr>
            <w:tcW w:w="1532" w:type="dxa"/>
          </w:tcPr>
          <w:p w14:paraId="145F43C0"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845</w:t>
            </w:r>
          </w:p>
        </w:tc>
        <w:tc>
          <w:tcPr>
            <w:tcW w:w="1639" w:type="dxa"/>
          </w:tcPr>
          <w:p w14:paraId="25B6D28D" w14:textId="77777777" w:rsidR="00AD7E7B" w:rsidRPr="007F7AAE" w:rsidRDefault="00AD7E7B" w:rsidP="000B0D34">
            <w:pPr>
              <w:spacing w:line="276" w:lineRule="auto"/>
              <w:rPr>
                <w:rFonts w:asciiTheme="majorHAnsi" w:hAnsiTheme="majorHAnsi" w:cs="Arial"/>
                <w:sz w:val="20"/>
                <w:szCs w:val="20"/>
              </w:rPr>
            </w:pPr>
          </w:p>
        </w:tc>
      </w:tr>
      <w:tr w:rsidR="00AD7E7B" w:rsidRPr="007F7AAE" w14:paraId="431E7CA2" w14:textId="77777777" w:rsidTr="00573912">
        <w:tc>
          <w:tcPr>
            <w:tcW w:w="1524" w:type="dxa"/>
          </w:tcPr>
          <w:p w14:paraId="41E5AF06"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Sonstiger Bergbau</w:t>
            </w:r>
          </w:p>
        </w:tc>
        <w:tc>
          <w:tcPr>
            <w:tcW w:w="1528" w:type="dxa"/>
          </w:tcPr>
          <w:p w14:paraId="23785305"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1337</w:t>
            </w:r>
          </w:p>
        </w:tc>
        <w:tc>
          <w:tcPr>
            <w:tcW w:w="1532" w:type="dxa"/>
          </w:tcPr>
          <w:p w14:paraId="5A15B87D"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4464</w:t>
            </w:r>
          </w:p>
        </w:tc>
        <w:tc>
          <w:tcPr>
            <w:tcW w:w="1527" w:type="dxa"/>
          </w:tcPr>
          <w:p w14:paraId="0E536CCE"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10411</w:t>
            </w:r>
          </w:p>
        </w:tc>
        <w:tc>
          <w:tcPr>
            <w:tcW w:w="1532" w:type="dxa"/>
          </w:tcPr>
          <w:p w14:paraId="3181C2B3"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16213</w:t>
            </w:r>
          </w:p>
        </w:tc>
        <w:tc>
          <w:tcPr>
            <w:tcW w:w="1639" w:type="dxa"/>
          </w:tcPr>
          <w:p w14:paraId="5A1718C7" w14:textId="77777777" w:rsidR="00AD7E7B" w:rsidRPr="007F7AAE" w:rsidRDefault="00AD7E7B" w:rsidP="000B0D34">
            <w:pPr>
              <w:spacing w:line="276" w:lineRule="auto"/>
              <w:rPr>
                <w:rFonts w:asciiTheme="majorHAnsi" w:hAnsiTheme="majorHAnsi" w:cs="Arial"/>
                <w:sz w:val="20"/>
                <w:szCs w:val="20"/>
              </w:rPr>
            </w:pPr>
            <w:r w:rsidRPr="007F7AAE">
              <w:rPr>
                <w:rFonts w:asciiTheme="majorHAnsi" w:hAnsiTheme="majorHAnsi" w:cs="Arial"/>
                <w:sz w:val="20"/>
                <w:szCs w:val="20"/>
              </w:rPr>
              <w:t>427</w:t>
            </w:r>
          </w:p>
        </w:tc>
      </w:tr>
      <w:tr w:rsidR="00AD7E7B" w:rsidRPr="007F7AAE" w14:paraId="205AC40D" w14:textId="77777777" w:rsidTr="00573912">
        <w:tc>
          <w:tcPr>
            <w:tcW w:w="1524" w:type="dxa"/>
          </w:tcPr>
          <w:p w14:paraId="03A033BD" w14:textId="77777777" w:rsidR="00AD7E7B" w:rsidRPr="007F7AAE" w:rsidRDefault="00AD7E7B" w:rsidP="000B0D34">
            <w:pPr>
              <w:spacing w:line="276" w:lineRule="auto"/>
              <w:rPr>
                <w:rFonts w:asciiTheme="majorHAnsi" w:hAnsiTheme="majorHAnsi" w:cs="Arial"/>
                <w:b/>
                <w:sz w:val="20"/>
                <w:szCs w:val="20"/>
              </w:rPr>
            </w:pPr>
            <w:r w:rsidRPr="007F7AAE">
              <w:rPr>
                <w:rFonts w:asciiTheme="majorHAnsi" w:hAnsiTheme="majorHAnsi" w:cs="Arial"/>
                <w:b/>
                <w:sz w:val="20"/>
                <w:szCs w:val="20"/>
              </w:rPr>
              <w:t>Summe</w:t>
            </w:r>
          </w:p>
        </w:tc>
        <w:tc>
          <w:tcPr>
            <w:tcW w:w="1528" w:type="dxa"/>
          </w:tcPr>
          <w:p w14:paraId="33ED87D1" w14:textId="77777777" w:rsidR="00AD7E7B" w:rsidRPr="007F7AAE" w:rsidRDefault="00AD7E7B" w:rsidP="000B0D34">
            <w:pPr>
              <w:spacing w:line="276" w:lineRule="auto"/>
              <w:rPr>
                <w:rFonts w:asciiTheme="majorHAnsi" w:hAnsiTheme="majorHAnsi" w:cs="Arial"/>
                <w:b/>
                <w:sz w:val="20"/>
                <w:szCs w:val="20"/>
              </w:rPr>
            </w:pPr>
            <w:r w:rsidRPr="007F7AAE">
              <w:rPr>
                <w:rFonts w:asciiTheme="majorHAnsi" w:hAnsiTheme="majorHAnsi" w:cs="Arial"/>
                <w:b/>
                <w:sz w:val="20"/>
                <w:szCs w:val="20"/>
              </w:rPr>
              <w:t>10337</w:t>
            </w:r>
          </w:p>
        </w:tc>
        <w:tc>
          <w:tcPr>
            <w:tcW w:w="1532" w:type="dxa"/>
          </w:tcPr>
          <w:p w14:paraId="3A803292" w14:textId="77777777" w:rsidR="00AD7E7B" w:rsidRPr="007F7AAE" w:rsidRDefault="00AD7E7B" w:rsidP="000B0D34">
            <w:pPr>
              <w:spacing w:line="276" w:lineRule="auto"/>
              <w:rPr>
                <w:rFonts w:asciiTheme="majorHAnsi" w:hAnsiTheme="majorHAnsi" w:cs="Arial"/>
                <w:b/>
                <w:sz w:val="20"/>
                <w:szCs w:val="20"/>
              </w:rPr>
            </w:pPr>
            <w:r w:rsidRPr="007F7AAE">
              <w:rPr>
                <w:rFonts w:asciiTheme="majorHAnsi" w:hAnsiTheme="majorHAnsi" w:cs="Arial"/>
                <w:b/>
                <w:sz w:val="20"/>
                <w:szCs w:val="20"/>
              </w:rPr>
              <w:t>13090</w:t>
            </w:r>
          </w:p>
        </w:tc>
        <w:tc>
          <w:tcPr>
            <w:tcW w:w="1527" w:type="dxa"/>
          </w:tcPr>
          <w:p w14:paraId="6320D61E" w14:textId="77777777" w:rsidR="00AD7E7B" w:rsidRPr="007F7AAE" w:rsidRDefault="00AD7E7B" w:rsidP="000B0D34">
            <w:pPr>
              <w:spacing w:line="276" w:lineRule="auto"/>
              <w:rPr>
                <w:rFonts w:asciiTheme="majorHAnsi" w:hAnsiTheme="majorHAnsi" w:cs="Arial"/>
                <w:b/>
                <w:sz w:val="20"/>
                <w:szCs w:val="20"/>
              </w:rPr>
            </w:pPr>
            <w:r w:rsidRPr="007F7AAE">
              <w:rPr>
                <w:rFonts w:asciiTheme="majorHAnsi" w:hAnsiTheme="majorHAnsi" w:cs="Arial"/>
                <w:b/>
                <w:sz w:val="20"/>
                <w:szCs w:val="20"/>
              </w:rPr>
              <w:t>33715</w:t>
            </w:r>
          </w:p>
        </w:tc>
        <w:tc>
          <w:tcPr>
            <w:tcW w:w="1532" w:type="dxa"/>
          </w:tcPr>
          <w:p w14:paraId="7DC316E2" w14:textId="77777777" w:rsidR="00AD7E7B" w:rsidRPr="007F7AAE" w:rsidRDefault="00AD7E7B" w:rsidP="000B0D34">
            <w:pPr>
              <w:spacing w:line="276" w:lineRule="auto"/>
              <w:rPr>
                <w:rFonts w:asciiTheme="majorHAnsi" w:hAnsiTheme="majorHAnsi" w:cs="Arial"/>
                <w:b/>
                <w:sz w:val="20"/>
                <w:szCs w:val="20"/>
              </w:rPr>
            </w:pPr>
            <w:r w:rsidRPr="007F7AAE">
              <w:rPr>
                <w:rFonts w:asciiTheme="majorHAnsi" w:hAnsiTheme="majorHAnsi" w:cs="Arial"/>
                <w:b/>
                <w:sz w:val="20"/>
                <w:szCs w:val="20"/>
              </w:rPr>
              <w:t>57177</w:t>
            </w:r>
          </w:p>
        </w:tc>
        <w:tc>
          <w:tcPr>
            <w:tcW w:w="1639" w:type="dxa"/>
          </w:tcPr>
          <w:p w14:paraId="4051E213" w14:textId="77777777" w:rsidR="00AD7E7B" w:rsidRPr="007F7AAE" w:rsidRDefault="00AD7E7B" w:rsidP="000B0D34">
            <w:pPr>
              <w:spacing w:line="276" w:lineRule="auto"/>
              <w:rPr>
                <w:rFonts w:asciiTheme="majorHAnsi" w:hAnsiTheme="majorHAnsi" w:cs="Arial"/>
                <w:b/>
                <w:sz w:val="20"/>
                <w:szCs w:val="20"/>
              </w:rPr>
            </w:pPr>
            <w:r w:rsidRPr="007F7AAE">
              <w:rPr>
                <w:rFonts w:asciiTheme="majorHAnsi" w:hAnsiTheme="majorHAnsi" w:cs="Arial"/>
                <w:b/>
                <w:sz w:val="20"/>
                <w:szCs w:val="20"/>
              </w:rPr>
              <w:t>2711</w:t>
            </w:r>
          </w:p>
        </w:tc>
      </w:tr>
    </w:tbl>
    <w:p w14:paraId="551FF5B2" w14:textId="77777777" w:rsidR="00AD7E7B" w:rsidRPr="007F7AAE" w:rsidRDefault="00AD7E7B" w:rsidP="00547E03">
      <w:pPr>
        <w:spacing w:line="276" w:lineRule="auto"/>
        <w:rPr>
          <w:rFonts w:asciiTheme="majorHAnsi" w:hAnsiTheme="majorHAnsi" w:cs="Arial"/>
          <w:b/>
          <w:sz w:val="22"/>
          <w:szCs w:val="22"/>
        </w:rPr>
      </w:pPr>
    </w:p>
    <w:p w14:paraId="462198BD" w14:textId="77777777" w:rsidR="00AD7E7B" w:rsidRPr="007F7AAE" w:rsidRDefault="00AD7E7B" w:rsidP="00FA5658">
      <w:pPr>
        <w:spacing w:after="240" w:line="276" w:lineRule="auto"/>
        <w:rPr>
          <w:rFonts w:asciiTheme="majorHAnsi" w:hAnsiTheme="majorHAnsi" w:cs="Arial"/>
          <w:sz w:val="22"/>
          <w:szCs w:val="22"/>
        </w:rPr>
      </w:pPr>
      <w:r w:rsidRPr="007F7AAE">
        <w:rPr>
          <w:rFonts w:asciiTheme="majorHAnsi" w:hAnsiTheme="majorHAnsi" w:cs="Arial"/>
          <w:sz w:val="22"/>
          <w:szCs w:val="22"/>
        </w:rPr>
        <w:t>Daten einsehen:</w:t>
      </w:r>
    </w:p>
    <w:p w14:paraId="11ED53CB" w14:textId="77777777" w:rsidR="00AD7E7B" w:rsidRPr="007F7AAE" w:rsidRDefault="00AD7E7B" w:rsidP="000B0D34">
      <w:pPr>
        <w:spacing w:line="276" w:lineRule="auto"/>
        <w:rPr>
          <w:rFonts w:asciiTheme="majorHAnsi" w:hAnsiTheme="majorHAnsi" w:cs="Arial"/>
          <w:sz w:val="22"/>
          <w:szCs w:val="22"/>
        </w:rPr>
      </w:pPr>
      <w:r w:rsidRPr="007F7AAE">
        <w:rPr>
          <w:rFonts w:asciiTheme="majorHAnsi" w:hAnsiTheme="majorHAnsi" w:cs="Arial"/>
          <w:sz w:val="22"/>
          <w:szCs w:val="22"/>
        </w:rPr>
        <w:t xml:space="preserve">Die Daten zu den Beschäftigten werden der jährlich erscheinenden Publikation „Der Bergbau in der Bundesrepublik Deutschland“ des Bundesministeriums für Wirtschaft und </w:t>
      </w:r>
      <w:proofErr w:type="spellStart"/>
      <w:r w:rsidRPr="007F7AAE">
        <w:rPr>
          <w:rFonts w:asciiTheme="majorHAnsi" w:hAnsiTheme="majorHAnsi" w:cs="Arial"/>
          <w:sz w:val="22"/>
          <w:szCs w:val="22"/>
        </w:rPr>
        <w:t>BMWi</w:t>
      </w:r>
      <w:proofErr w:type="spellEnd"/>
      <w:r w:rsidRPr="007F7AAE">
        <w:rPr>
          <w:rFonts w:asciiTheme="majorHAnsi" w:hAnsiTheme="majorHAnsi" w:cs="Arial"/>
          <w:sz w:val="22"/>
          <w:szCs w:val="22"/>
        </w:rPr>
        <w:t xml:space="preserve"> entnommen (</w:t>
      </w:r>
      <w:hyperlink r:id="rId17" w:history="1">
        <w:r w:rsidRPr="007F7AAE">
          <w:rPr>
            <w:rStyle w:val="Hyperlink"/>
            <w:rFonts w:asciiTheme="majorHAnsi" w:hAnsiTheme="majorHAnsi" w:cs="Arial"/>
            <w:sz w:val="22"/>
            <w:szCs w:val="22"/>
          </w:rPr>
          <w:t>PDF</w:t>
        </w:r>
      </w:hyperlink>
      <w:r w:rsidRPr="007F7AAE">
        <w:rPr>
          <w:rFonts w:asciiTheme="majorHAnsi" w:hAnsiTheme="majorHAnsi" w:cs="Arial"/>
          <w:sz w:val="22"/>
          <w:szCs w:val="22"/>
        </w:rPr>
        <w:t xml:space="preserve"> und EXCEL). Zur Berechnung des prozentualen Anteils der Beschäftigten wurde auf die Gesamtzahl der Erwerbstätigen der Arbeitsmarktstatistik des Statistischen Jahrbuches des Statistischen Bunde</w:t>
      </w:r>
      <w:r w:rsidRPr="007F7AAE">
        <w:rPr>
          <w:rFonts w:asciiTheme="majorHAnsi" w:hAnsiTheme="majorHAnsi" w:cs="Arial"/>
          <w:sz w:val="22"/>
          <w:szCs w:val="22"/>
        </w:rPr>
        <w:t>s</w:t>
      </w:r>
      <w:r w:rsidRPr="007F7AAE">
        <w:rPr>
          <w:rFonts w:asciiTheme="majorHAnsi" w:hAnsiTheme="majorHAnsi" w:cs="Arial"/>
          <w:sz w:val="22"/>
          <w:szCs w:val="22"/>
        </w:rPr>
        <w:t>amtes zurückgegriffen (</w:t>
      </w:r>
      <w:hyperlink r:id="rId18" w:history="1">
        <w:r w:rsidRPr="007F7AAE">
          <w:rPr>
            <w:rStyle w:val="Hyperlink"/>
            <w:rFonts w:asciiTheme="majorHAnsi" w:hAnsiTheme="majorHAnsi" w:cs="Arial"/>
            <w:sz w:val="22"/>
            <w:szCs w:val="22"/>
          </w:rPr>
          <w:t>PDF</w:t>
        </w:r>
      </w:hyperlink>
      <w:r w:rsidRPr="007F7AAE">
        <w:rPr>
          <w:rFonts w:asciiTheme="majorHAnsi" w:hAnsiTheme="majorHAnsi" w:cs="Arial"/>
          <w:sz w:val="22"/>
          <w:szCs w:val="22"/>
        </w:rPr>
        <w:t>).</w:t>
      </w:r>
    </w:p>
    <w:p w14:paraId="58B45103" w14:textId="683BE551" w:rsidR="00AD7E7B" w:rsidRPr="007F7AAE" w:rsidRDefault="00AD7E7B" w:rsidP="000B0D34">
      <w:pPr>
        <w:spacing w:line="276" w:lineRule="auto"/>
        <w:rPr>
          <w:rStyle w:val="Seitenzahl"/>
          <w:rFonts w:asciiTheme="majorHAnsi" w:hAnsiTheme="majorHAnsi" w:cs="Arial"/>
          <w:b/>
        </w:rPr>
      </w:pPr>
    </w:p>
    <w:p w14:paraId="5CD93FA6" w14:textId="77777777" w:rsidR="00AD7E7B" w:rsidRPr="007F7AAE" w:rsidRDefault="00AD7E7B" w:rsidP="000B0D34">
      <w:pPr>
        <w:spacing w:line="276" w:lineRule="auto"/>
        <w:rPr>
          <w:rStyle w:val="Seitenzahl"/>
          <w:rFonts w:asciiTheme="majorHAnsi" w:hAnsiTheme="majorHAnsi" w:cs="Arial"/>
          <w:b/>
        </w:rPr>
      </w:pPr>
    </w:p>
    <w:p w14:paraId="76C1F0B8" w14:textId="77777777" w:rsidR="00AD7E7B" w:rsidRPr="007F7AAE" w:rsidRDefault="00AD7E7B" w:rsidP="007E20E5">
      <w:pPr>
        <w:spacing w:before="240" w:after="240" w:line="276" w:lineRule="auto"/>
        <w:rPr>
          <w:rStyle w:val="Seitenzahl"/>
          <w:rFonts w:asciiTheme="majorHAnsi" w:hAnsiTheme="majorHAnsi" w:cs="Arial"/>
          <w:sz w:val="28"/>
          <w:szCs w:val="28"/>
        </w:rPr>
      </w:pPr>
    </w:p>
    <w:p w14:paraId="22997534" w14:textId="77777777" w:rsidR="00AA5F7D" w:rsidRPr="007F7AAE" w:rsidRDefault="00AA5F7D">
      <w:pPr>
        <w:rPr>
          <w:rStyle w:val="Seitenzahl"/>
          <w:rFonts w:asciiTheme="majorHAnsi" w:eastAsiaTheme="majorEastAsia" w:hAnsiTheme="majorHAnsi" w:cstheme="majorBidi"/>
          <w:b/>
          <w:bCs/>
          <w:color w:val="365F91" w:themeColor="accent1" w:themeShade="BF"/>
          <w:sz w:val="28"/>
          <w:szCs w:val="28"/>
        </w:rPr>
      </w:pPr>
      <w:bookmarkStart w:id="6" w:name="_Toc474509187"/>
      <w:r w:rsidRPr="007F7AAE">
        <w:rPr>
          <w:rStyle w:val="Seitenzahl"/>
        </w:rPr>
        <w:br w:type="page"/>
      </w:r>
    </w:p>
    <w:p w14:paraId="1894B7C2" w14:textId="7C88AE73" w:rsidR="00AD7E7B" w:rsidRPr="007F7AAE" w:rsidRDefault="00AD7E7B" w:rsidP="007E20E5">
      <w:pPr>
        <w:pStyle w:val="berschrift1"/>
        <w:rPr>
          <w:rStyle w:val="Seitenzahl"/>
        </w:rPr>
      </w:pPr>
      <w:r w:rsidRPr="007F7AAE">
        <w:rPr>
          <w:rStyle w:val="Seitenzahl"/>
        </w:rPr>
        <w:lastRenderedPageBreak/>
        <w:t>Glossar</w:t>
      </w:r>
      <w:bookmarkEnd w:id="6"/>
    </w:p>
    <w:p w14:paraId="701C5A88" w14:textId="77777777" w:rsidR="00AD7E7B" w:rsidRPr="007F7AAE" w:rsidRDefault="00AD7E7B" w:rsidP="00600CC2">
      <w:pPr>
        <w:spacing w:after="240" w:line="276" w:lineRule="auto"/>
        <w:rPr>
          <w:rFonts w:asciiTheme="majorHAnsi" w:hAnsiTheme="majorHAnsi"/>
          <w:color w:val="00B050"/>
          <w:sz w:val="28"/>
          <w:szCs w:val="28"/>
        </w:rPr>
      </w:pPr>
    </w:p>
    <w:p w14:paraId="554B1EAC" w14:textId="77777777" w:rsidR="0047152A" w:rsidRPr="007F7AAE" w:rsidRDefault="0047152A" w:rsidP="00923034">
      <w:pPr>
        <w:spacing w:line="276" w:lineRule="auto"/>
        <w:rPr>
          <w:rFonts w:asciiTheme="majorHAnsi" w:hAnsiTheme="majorHAnsi"/>
          <w:sz w:val="22"/>
          <w:szCs w:val="22"/>
        </w:rPr>
      </w:pPr>
    </w:p>
    <w:p w14:paraId="586DDDC7" w14:textId="6DF23828" w:rsidR="0047152A" w:rsidRPr="007F7AAE" w:rsidRDefault="0047152A" w:rsidP="00923034">
      <w:pPr>
        <w:spacing w:line="276" w:lineRule="auto"/>
        <w:rPr>
          <w:rFonts w:asciiTheme="majorHAnsi" w:eastAsiaTheme="majorEastAsia" w:hAnsiTheme="majorHAnsi" w:cstheme="majorBidi"/>
          <w:b/>
          <w:bCs/>
          <w:i/>
          <w:iCs/>
          <w:color w:val="4F81BD" w:themeColor="accent1"/>
        </w:rPr>
      </w:pPr>
      <w:r w:rsidRPr="007F7AAE">
        <w:rPr>
          <w:rFonts w:asciiTheme="majorHAnsi" w:eastAsiaTheme="majorEastAsia" w:hAnsiTheme="majorHAnsi" w:cstheme="majorBidi"/>
          <w:b/>
          <w:bCs/>
          <w:i/>
          <w:iCs/>
          <w:color w:val="4F81BD" w:themeColor="accent1"/>
        </w:rPr>
        <w:t>Bruttoinlandsprodukt</w:t>
      </w:r>
    </w:p>
    <w:p w14:paraId="09E207F1" w14:textId="77777777" w:rsidR="0047152A" w:rsidRPr="007F7AAE" w:rsidRDefault="0047152A" w:rsidP="00923034">
      <w:pPr>
        <w:spacing w:line="276" w:lineRule="auto"/>
        <w:rPr>
          <w:rFonts w:asciiTheme="majorHAnsi" w:hAnsiTheme="majorHAnsi"/>
        </w:rPr>
      </w:pPr>
    </w:p>
    <w:p w14:paraId="3DE47EC2" w14:textId="3729C4C0" w:rsidR="0047152A" w:rsidRPr="007F7AAE" w:rsidRDefault="0047152A" w:rsidP="00923034">
      <w:pPr>
        <w:spacing w:line="276" w:lineRule="auto"/>
        <w:rPr>
          <w:rFonts w:asciiTheme="majorHAnsi" w:hAnsiTheme="majorHAnsi"/>
        </w:rPr>
      </w:pPr>
      <w:r w:rsidRPr="007F7AAE">
        <w:rPr>
          <w:rFonts w:asciiTheme="majorHAnsi" w:hAnsiTheme="majorHAnsi"/>
        </w:rPr>
        <w:t>Das Bruttoinlandsprodukt (BIP) misst den Wert der im Inland hergestellten Waren und Dienstleistungen (Wertschöpfung) in einer bestimmten Periode (Quartal, Jahr). Das statist</w:t>
      </w:r>
      <w:r w:rsidRPr="007F7AAE">
        <w:rPr>
          <w:rFonts w:asciiTheme="majorHAnsi" w:hAnsiTheme="majorHAnsi"/>
        </w:rPr>
        <w:t>i</w:t>
      </w:r>
      <w:r w:rsidRPr="007F7AAE">
        <w:rPr>
          <w:rFonts w:asciiTheme="majorHAnsi" w:hAnsiTheme="majorHAnsi"/>
        </w:rPr>
        <w:t>sche Bundesamt berechnet das BIP folgendermaßen: Produktionswert  minus Vorleistungen ist gleich die Bruttowertschöpfung; zuzüglich Güter-steuern und abzüglich der Subventionen ergibt das BIP</w:t>
      </w:r>
    </w:p>
    <w:p w14:paraId="599B267A" w14:textId="77777777" w:rsidR="0047152A" w:rsidRPr="007F7AAE" w:rsidRDefault="0047152A" w:rsidP="00923034">
      <w:pPr>
        <w:spacing w:line="276" w:lineRule="auto"/>
        <w:rPr>
          <w:rFonts w:asciiTheme="majorHAnsi" w:hAnsiTheme="majorHAnsi"/>
        </w:rPr>
      </w:pPr>
    </w:p>
    <w:p w14:paraId="2123AC0A" w14:textId="3BE5FE88" w:rsidR="0047152A" w:rsidRPr="007F7AAE" w:rsidRDefault="0047152A" w:rsidP="00923034">
      <w:pPr>
        <w:spacing w:line="276" w:lineRule="auto"/>
        <w:rPr>
          <w:rFonts w:asciiTheme="majorHAnsi" w:eastAsiaTheme="majorEastAsia" w:hAnsiTheme="majorHAnsi" w:cstheme="majorBidi"/>
          <w:b/>
          <w:bCs/>
          <w:i/>
          <w:iCs/>
          <w:color w:val="4F81BD" w:themeColor="accent1"/>
        </w:rPr>
      </w:pPr>
      <w:r w:rsidRPr="007F7AAE">
        <w:rPr>
          <w:rFonts w:asciiTheme="majorHAnsi" w:eastAsiaTheme="majorEastAsia" w:hAnsiTheme="majorHAnsi" w:cstheme="majorBidi"/>
          <w:b/>
          <w:bCs/>
          <w:i/>
          <w:iCs/>
          <w:color w:val="4F81BD" w:themeColor="accent1"/>
        </w:rPr>
        <w:t>Bruttowertschöpfung</w:t>
      </w:r>
    </w:p>
    <w:p w14:paraId="708BBD31" w14:textId="77777777" w:rsidR="0047152A" w:rsidRPr="007F7AAE" w:rsidRDefault="0047152A" w:rsidP="00923034">
      <w:pPr>
        <w:spacing w:line="276" w:lineRule="auto"/>
        <w:rPr>
          <w:rFonts w:asciiTheme="majorHAnsi" w:hAnsiTheme="majorHAnsi"/>
        </w:rPr>
      </w:pPr>
    </w:p>
    <w:p w14:paraId="788DBEDB" w14:textId="585430C0" w:rsidR="0047152A" w:rsidRPr="007F7AAE" w:rsidRDefault="0047152A" w:rsidP="0047152A">
      <w:pPr>
        <w:spacing w:line="276" w:lineRule="auto"/>
        <w:rPr>
          <w:rFonts w:asciiTheme="majorHAnsi" w:hAnsiTheme="majorHAnsi"/>
        </w:rPr>
      </w:pPr>
      <w:r w:rsidRPr="007F7AAE">
        <w:rPr>
          <w:rFonts w:asciiTheme="majorHAnsi" w:hAnsiTheme="majorHAnsi"/>
        </w:rPr>
        <w:t>Die Bruttowertschöpfung wird durch Abzug der Vorleistungen von den Produktionswerten errechnet; sie umfasst also nur den im Produktionsprozess geschaffenen Mehrwert. Die Bruttowertschöpfung ist bewertet zu Herstellungspreisen, das heißt ohne die auf die Güter zu zahlenden Steuern (Gütersteuern), aber einschließlich der empfangenen Gütersubventi</w:t>
      </w:r>
      <w:r w:rsidRPr="007F7AAE">
        <w:rPr>
          <w:rFonts w:asciiTheme="majorHAnsi" w:hAnsiTheme="majorHAnsi"/>
        </w:rPr>
        <w:t>o</w:t>
      </w:r>
      <w:r w:rsidRPr="007F7AAE">
        <w:rPr>
          <w:rFonts w:asciiTheme="majorHAnsi" w:hAnsiTheme="majorHAnsi"/>
        </w:rPr>
        <w:t xml:space="preserve">nen. </w:t>
      </w:r>
    </w:p>
    <w:p w14:paraId="0D658E99" w14:textId="77777777" w:rsidR="0047152A" w:rsidRPr="007F7AAE" w:rsidRDefault="0047152A" w:rsidP="0047152A">
      <w:pPr>
        <w:spacing w:line="276" w:lineRule="auto"/>
        <w:rPr>
          <w:rFonts w:asciiTheme="majorHAnsi" w:hAnsiTheme="majorHAnsi"/>
        </w:rPr>
      </w:pPr>
      <w:r w:rsidRPr="007F7AAE">
        <w:rPr>
          <w:rFonts w:asciiTheme="majorHAnsi" w:hAnsiTheme="majorHAnsi"/>
        </w:rPr>
        <w:t>Beim Übergang von der Bruttowertschöpfung (zu Herstellungspreisen) zum Bruttoinland</w:t>
      </w:r>
      <w:r w:rsidRPr="007F7AAE">
        <w:rPr>
          <w:rFonts w:asciiTheme="majorHAnsi" w:hAnsiTheme="majorHAnsi"/>
        </w:rPr>
        <w:t>s</w:t>
      </w:r>
      <w:r w:rsidRPr="007F7AAE">
        <w:rPr>
          <w:rFonts w:asciiTheme="majorHAnsi" w:hAnsiTheme="majorHAnsi"/>
        </w:rPr>
        <w:t>produkt sind die Net-</w:t>
      </w:r>
      <w:proofErr w:type="spellStart"/>
      <w:r w:rsidRPr="007F7AAE">
        <w:rPr>
          <w:rFonts w:asciiTheme="majorHAnsi" w:hAnsiTheme="majorHAnsi"/>
        </w:rPr>
        <w:t>togütersteuern</w:t>
      </w:r>
      <w:proofErr w:type="spellEnd"/>
      <w:r w:rsidRPr="007F7AAE">
        <w:rPr>
          <w:rFonts w:asciiTheme="majorHAnsi" w:hAnsiTheme="majorHAnsi"/>
        </w:rPr>
        <w:t xml:space="preserve"> (Gütersteuern abzüglich Gütersubventionen) global hinzuzufügen, um zu einer Bewertung des Bruttoinlandsprodukts zu Marktpreisen zu gela</w:t>
      </w:r>
      <w:r w:rsidRPr="007F7AAE">
        <w:rPr>
          <w:rFonts w:asciiTheme="majorHAnsi" w:hAnsiTheme="majorHAnsi"/>
        </w:rPr>
        <w:t>n</w:t>
      </w:r>
      <w:r w:rsidRPr="007F7AAE">
        <w:rPr>
          <w:rFonts w:asciiTheme="majorHAnsi" w:hAnsiTheme="majorHAnsi"/>
        </w:rPr>
        <w:t xml:space="preserve">gen. </w:t>
      </w:r>
    </w:p>
    <w:p w14:paraId="30C235F0" w14:textId="77777777" w:rsidR="003907A6" w:rsidRPr="007F7AAE" w:rsidRDefault="0047152A" w:rsidP="003907A6">
      <w:pPr>
        <w:rPr>
          <w:lang w:val="fr-FR"/>
        </w:rPr>
      </w:pPr>
      <w:r w:rsidRPr="007F7AAE">
        <w:rPr>
          <w:rFonts w:asciiTheme="majorHAnsi" w:hAnsiTheme="majorHAnsi"/>
          <w:lang w:val="fr-FR"/>
        </w:rPr>
        <w:t xml:space="preserve">Quelle: </w:t>
      </w:r>
    </w:p>
    <w:p w14:paraId="0B5E03BE" w14:textId="77777777" w:rsidR="003907A6" w:rsidRPr="00AB7A0F" w:rsidRDefault="00081043" w:rsidP="003907A6">
      <w:pPr>
        <w:spacing w:line="276" w:lineRule="auto"/>
        <w:rPr>
          <w:rFonts w:asciiTheme="majorHAnsi" w:hAnsiTheme="majorHAnsi"/>
          <w:lang w:val="fr-FR"/>
        </w:rPr>
      </w:pPr>
      <w:hyperlink r:id="rId19" w:history="1">
        <w:r w:rsidR="003907A6" w:rsidRPr="007F7AAE">
          <w:rPr>
            <w:rStyle w:val="Hyperlink"/>
            <w:rFonts w:asciiTheme="majorHAnsi" w:hAnsiTheme="majorHAnsi"/>
            <w:lang w:val="fr-FR"/>
          </w:rPr>
          <w:t>https://www.destatis.de/DE/ZahlenFakten/GesamtwirtschaftUmwelt/VGR/Glossar/Bruttowertschoepfung.html</w:t>
        </w:r>
      </w:hyperlink>
    </w:p>
    <w:p w14:paraId="301FFC26" w14:textId="0A068893" w:rsidR="0047152A" w:rsidRPr="00AB7A0F" w:rsidRDefault="0047152A" w:rsidP="0047152A">
      <w:pPr>
        <w:spacing w:line="276" w:lineRule="auto"/>
        <w:rPr>
          <w:rFonts w:asciiTheme="majorHAnsi" w:hAnsiTheme="majorHAnsi"/>
          <w:lang w:val="fr-FR"/>
        </w:rPr>
      </w:pPr>
    </w:p>
    <w:p w14:paraId="34F3950D" w14:textId="77777777" w:rsidR="003736E7" w:rsidRPr="00AB7A0F" w:rsidRDefault="003736E7" w:rsidP="0047152A">
      <w:pPr>
        <w:spacing w:line="276" w:lineRule="auto"/>
        <w:rPr>
          <w:rFonts w:asciiTheme="majorHAnsi" w:hAnsiTheme="majorHAnsi"/>
          <w:lang w:val="fr-FR"/>
        </w:rPr>
      </w:pPr>
    </w:p>
    <w:p w14:paraId="66FB978E" w14:textId="36A71EC1" w:rsidR="003736E7" w:rsidRPr="00B82928" w:rsidRDefault="0064464A" w:rsidP="0047152A">
      <w:pPr>
        <w:spacing w:line="276" w:lineRule="auto"/>
        <w:rPr>
          <w:rFonts w:asciiTheme="majorHAnsi" w:hAnsiTheme="majorHAnsi"/>
          <w:lang w:val="fr-FR"/>
        </w:rPr>
      </w:pPr>
      <w:r w:rsidRPr="005A2A1D">
        <w:rPr>
          <w:rFonts w:hAnsi="Cambria"/>
          <w:sz w:val="22"/>
          <w:szCs w:val="22"/>
          <w:lang w:val="fr-FR"/>
        </w:rPr>
        <w:t xml:space="preserve"> </w:t>
      </w:r>
    </w:p>
    <w:sectPr w:rsidR="003736E7" w:rsidRPr="00B82928" w:rsidSect="000A1B7D">
      <w:headerReference w:type="even" r:id="rId20"/>
      <w:headerReference w:type="default" r:id="rId21"/>
      <w:footerReference w:type="default" r:id="rId2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AA8EF" w14:textId="77777777" w:rsidR="0064464A" w:rsidRDefault="0064464A" w:rsidP="006E3E1F">
      <w:r>
        <w:separator/>
      </w:r>
    </w:p>
  </w:endnote>
  <w:endnote w:type="continuationSeparator" w:id="0">
    <w:p w14:paraId="5E8873E0" w14:textId="77777777" w:rsidR="0064464A" w:rsidRDefault="0064464A" w:rsidP="006E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yriad Pro">
    <w:altName w:val="Corbel"/>
    <w:panose1 w:val="00000000000000000000"/>
    <w:charset w:val="00"/>
    <w:family w:val="swiss"/>
    <w:notTrueType/>
    <w:pitch w:val="variable"/>
    <w:sig w:usb0="20000287" w:usb1="00000001" w:usb2="00000000" w:usb3="00000000" w:csb0="0000019F" w:csb1="00000000"/>
  </w:font>
  <w:font w:name="ITC Charter Com">
    <w:altName w:val="Times New Roman"/>
    <w:charset w:val="00"/>
    <w:family w:val="roman"/>
    <w:pitch w:val="variable"/>
    <w:sig w:usb0="00000001" w:usb1="5000204A" w:usb2="00000000" w:usb3="00000000" w:csb0="0000009B"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56316"/>
      <w:docPartObj>
        <w:docPartGallery w:val="Page Numbers (Bottom of Page)"/>
        <w:docPartUnique/>
      </w:docPartObj>
    </w:sdtPr>
    <w:sdtEndPr/>
    <w:sdtContent>
      <w:p w14:paraId="43895871" w14:textId="767031A2" w:rsidR="0064464A" w:rsidRDefault="0064464A">
        <w:pPr>
          <w:pStyle w:val="Fuzeile"/>
          <w:jc w:val="right"/>
        </w:pPr>
        <w:r>
          <w:fldChar w:fldCharType="begin"/>
        </w:r>
        <w:r>
          <w:instrText>PAGE   \* MERGEFORMAT</w:instrText>
        </w:r>
        <w:r>
          <w:fldChar w:fldCharType="separate"/>
        </w:r>
        <w:r w:rsidR="00081043">
          <w:rPr>
            <w:noProof/>
          </w:rPr>
          <w:t>2</w:t>
        </w:r>
        <w:r>
          <w:fldChar w:fldCharType="end"/>
        </w:r>
      </w:p>
    </w:sdtContent>
  </w:sdt>
  <w:p w14:paraId="35644A2C" w14:textId="77777777" w:rsidR="0064464A" w:rsidRDefault="006446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8691" w14:textId="77777777" w:rsidR="0064464A" w:rsidRDefault="0064464A" w:rsidP="006E3E1F">
      <w:r>
        <w:separator/>
      </w:r>
    </w:p>
  </w:footnote>
  <w:footnote w:type="continuationSeparator" w:id="0">
    <w:p w14:paraId="1074D1C3" w14:textId="77777777" w:rsidR="0064464A" w:rsidRDefault="0064464A" w:rsidP="006E3E1F">
      <w:r>
        <w:continuationSeparator/>
      </w:r>
    </w:p>
  </w:footnote>
  <w:footnote w:id="1">
    <w:p w14:paraId="606EDB64" w14:textId="462B177B" w:rsidR="0064464A" w:rsidRPr="00FB2412" w:rsidRDefault="0064464A">
      <w:pPr>
        <w:pStyle w:val="Funotentext"/>
        <w:rPr>
          <w:rFonts w:asciiTheme="majorHAnsi" w:hAnsiTheme="majorHAnsi"/>
          <w:sz w:val="20"/>
          <w:szCs w:val="20"/>
        </w:rPr>
      </w:pPr>
      <w:r w:rsidRPr="00FB2412">
        <w:rPr>
          <w:rStyle w:val="Funotenzeichen"/>
          <w:rFonts w:asciiTheme="majorHAnsi" w:hAnsiTheme="majorHAnsi"/>
          <w:sz w:val="20"/>
          <w:szCs w:val="20"/>
        </w:rPr>
        <w:footnoteRef/>
      </w:r>
      <w:r w:rsidRPr="00FB2412">
        <w:rPr>
          <w:rFonts w:asciiTheme="majorHAnsi" w:hAnsiTheme="majorHAnsi"/>
          <w:sz w:val="20"/>
          <w:szCs w:val="20"/>
        </w:rPr>
        <w:t xml:space="preserve"> Definition s.o. Die Rohstoffgewinnende Industrie unterscheidet sich von der rohstoffverarbeitenden Industrie 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70DA" w14:textId="77E6FC97" w:rsidR="0064464A" w:rsidRDefault="0064464A">
    <w:pPr>
      <w:pStyle w:val="Kopfzeile"/>
    </w:pPr>
    <w:r>
      <w:rPr>
        <w:noProof/>
      </w:rPr>
      <w:drawing>
        <wp:inline distT="0" distB="0" distL="0" distR="0" wp14:anchorId="1BC47DDA" wp14:editId="6B56B2E6">
          <wp:extent cx="1769110" cy="308610"/>
          <wp:effectExtent l="0" t="0" r="2540" b="0"/>
          <wp:docPr id="2" name="Grafik 2" descr="B-D-EITI Logo ohne Vorbereitungs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EITI Logo ohne Vorbereitungsgrup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3086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4440A" w14:textId="73752ABC" w:rsidR="0064464A" w:rsidRDefault="0064464A" w:rsidP="00A02ECE">
    <w:pPr>
      <w:pStyle w:val="Kopfzeile"/>
      <w:jc w:val="right"/>
    </w:pPr>
    <w:r>
      <w:rPr>
        <w:noProof/>
      </w:rPr>
      <w:drawing>
        <wp:inline distT="0" distB="0" distL="0" distR="0" wp14:anchorId="19AC3A86" wp14:editId="0B100163">
          <wp:extent cx="1769110" cy="308610"/>
          <wp:effectExtent l="0" t="0" r="2540" b="0"/>
          <wp:docPr id="1" name="Grafik 1" descr="B-D-EITI Logo ohne Vorbereitungs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EITI Logo ohne Vorbereitungsgrup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308610"/>
                  </a:xfrm>
                  <a:prstGeom prst="rect">
                    <a:avLst/>
                  </a:prstGeom>
                  <a:noFill/>
                  <a:ln>
                    <a:noFill/>
                  </a:ln>
                </pic:spPr>
              </pic:pic>
            </a:graphicData>
          </a:graphic>
        </wp:inline>
      </w:drawing>
    </w:r>
  </w:p>
  <w:p w14:paraId="7D52FF3B" w14:textId="766CE103" w:rsidR="0064464A" w:rsidRDefault="0064464A">
    <w:pPr>
      <w:pStyle w:val="Kopfzeile"/>
    </w:pPr>
  </w:p>
  <w:p w14:paraId="31671F50" w14:textId="77777777" w:rsidR="0064464A" w:rsidRDefault="0064464A">
    <w:pPr>
      <w:pStyle w:val="Kopfzeile"/>
    </w:pPr>
  </w:p>
  <w:p w14:paraId="1D53B846" w14:textId="181060A3" w:rsidR="0064464A" w:rsidRDefault="0064464A" w:rsidP="00AD7E7B">
    <w:pPr>
      <w:pStyle w:val="Kopfzeile"/>
      <w:tabs>
        <w:tab w:val="clear" w:pos="4536"/>
        <w:tab w:val="clear" w:pos="9072"/>
        <w:tab w:val="left" w:pos="768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875"/>
    <w:multiLevelType w:val="hybridMultilevel"/>
    <w:tmpl w:val="00BA47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0E01F49"/>
    <w:multiLevelType w:val="hybridMultilevel"/>
    <w:tmpl w:val="DF7E9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796CE8"/>
    <w:multiLevelType w:val="multilevel"/>
    <w:tmpl w:val="8B8C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038E5"/>
    <w:multiLevelType w:val="hybridMultilevel"/>
    <w:tmpl w:val="CA56F650"/>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4">
    <w:nsid w:val="23DA2DC7"/>
    <w:multiLevelType w:val="hybridMultilevel"/>
    <w:tmpl w:val="F370BB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53F0A26"/>
    <w:multiLevelType w:val="hybridMultilevel"/>
    <w:tmpl w:val="9DFAEC24"/>
    <w:lvl w:ilvl="0" w:tplc="59CAF402">
      <w:start w:val="2"/>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6B36340"/>
    <w:multiLevelType w:val="hybridMultilevel"/>
    <w:tmpl w:val="B06ED960"/>
    <w:lvl w:ilvl="0" w:tplc="04070001">
      <w:start w:val="1"/>
      <w:numFmt w:val="bullet"/>
      <w:lvlText w:val=""/>
      <w:lvlJc w:val="left"/>
      <w:pPr>
        <w:ind w:left="720" w:hanging="360"/>
      </w:pPr>
      <w:rPr>
        <w:rFonts w:ascii="Symbol" w:hAnsi="Symbo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940782"/>
    <w:multiLevelType w:val="hybridMultilevel"/>
    <w:tmpl w:val="5A3881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8864778"/>
    <w:multiLevelType w:val="hybridMultilevel"/>
    <w:tmpl w:val="110C7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55AEF"/>
    <w:multiLevelType w:val="hybridMultilevel"/>
    <w:tmpl w:val="8B84E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01212B"/>
    <w:multiLevelType w:val="hybridMultilevel"/>
    <w:tmpl w:val="5D6C6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9F64D2C"/>
    <w:multiLevelType w:val="hybridMultilevel"/>
    <w:tmpl w:val="AD226F42"/>
    <w:lvl w:ilvl="0" w:tplc="2BD29760">
      <w:start w:val="5"/>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B921172"/>
    <w:multiLevelType w:val="hybridMultilevel"/>
    <w:tmpl w:val="4B6CC1A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3E690C2E"/>
    <w:multiLevelType w:val="hybridMultilevel"/>
    <w:tmpl w:val="1A7417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F4D3191"/>
    <w:multiLevelType w:val="hybridMultilevel"/>
    <w:tmpl w:val="966C49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F612640"/>
    <w:multiLevelType w:val="hybridMultilevel"/>
    <w:tmpl w:val="21E83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12222D"/>
    <w:multiLevelType w:val="hybridMultilevel"/>
    <w:tmpl w:val="68C00968"/>
    <w:lvl w:ilvl="0" w:tplc="0407000F">
      <w:start w:val="1"/>
      <w:numFmt w:val="decimal"/>
      <w:lvlText w:val="%1."/>
      <w:lvlJc w:val="left"/>
      <w:pPr>
        <w:ind w:left="720" w:hanging="360"/>
      </w:pPr>
    </w:lvl>
    <w:lvl w:ilvl="1" w:tplc="2E64080C">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25620C4"/>
    <w:multiLevelType w:val="hybridMultilevel"/>
    <w:tmpl w:val="66982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6277C23"/>
    <w:multiLevelType w:val="hybridMultilevel"/>
    <w:tmpl w:val="37D42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8D56304"/>
    <w:multiLevelType w:val="hybridMultilevel"/>
    <w:tmpl w:val="26362B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8E12F55"/>
    <w:multiLevelType w:val="hybridMultilevel"/>
    <w:tmpl w:val="1A00C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38734F2"/>
    <w:multiLevelType w:val="hybridMultilevel"/>
    <w:tmpl w:val="BB7C0DB4"/>
    <w:lvl w:ilvl="0" w:tplc="57F6EBC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5561212"/>
    <w:multiLevelType w:val="hybridMultilevel"/>
    <w:tmpl w:val="00B2EB98"/>
    <w:lvl w:ilvl="0" w:tplc="6804D522">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6792115"/>
    <w:multiLevelType w:val="hybridMultilevel"/>
    <w:tmpl w:val="9202BDA4"/>
    <w:lvl w:ilvl="0" w:tplc="04070001">
      <w:start w:val="1"/>
      <w:numFmt w:val="bullet"/>
      <w:lvlText w:val=""/>
      <w:lvlJc w:val="left"/>
      <w:pPr>
        <w:ind w:left="720" w:hanging="360"/>
      </w:pPr>
      <w:rPr>
        <w:rFonts w:ascii="Symbol" w:hAnsi="Symbol" w:hint="default"/>
      </w:rPr>
    </w:lvl>
    <w:lvl w:ilvl="1" w:tplc="2E64080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6063AC2"/>
    <w:multiLevelType w:val="singleLevel"/>
    <w:tmpl w:val="8A9ADA26"/>
    <w:lvl w:ilvl="0">
      <w:start w:val="1"/>
      <w:numFmt w:val="decimal"/>
      <w:pStyle w:val="TextmTz"/>
      <w:lvlText w:val="%1."/>
      <w:lvlJc w:val="right"/>
      <w:pPr>
        <w:tabs>
          <w:tab w:val="num" w:pos="142"/>
        </w:tabs>
        <w:ind w:left="142" w:hanging="284"/>
      </w:pPr>
      <w:rPr>
        <w:rFonts w:hint="default"/>
        <w:b w:val="0"/>
        <w:sz w:val="20"/>
      </w:rPr>
    </w:lvl>
  </w:abstractNum>
  <w:abstractNum w:abstractNumId="25">
    <w:nsid w:val="6D826968"/>
    <w:multiLevelType w:val="hybridMultilevel"/>
    <w:tmpl w:val="EE549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320FF6"/>
    <w:multiLevelType w:val="hybridMultilevel"/>
    <w:tmpl w:val="9A7ABF74"/>
    <w:lvl w:ilvl="0" w:tplc="7B6202EA">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344269"/>
    <w:multiLevelType w:val="hybridMultilevel"/>
    <w:tmpl w:val="079C33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43E4346"/>
    <w:multiLevelType w:val="hybridMultilevel"/>
    <w:tmpl w:val="32289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64A50C2"/>
    <w:multiLevelType w:val="hybridMultilevel"/>
    <w:tmpl w:val="A6D6108E"/>
    <w:lvl w:ilvl="0" w:tplc="04070001">
      <w:start w:val="1"/>
      <w:numFmt w:val="bullet"/>
      <w:lvlText w:val=""/>
      <w:lvlJc w:val="left"/>
      <w:pPr>
        <w:ind w:left="720" w:hanging="360"/>
      </w:pPr>
      <w:rPr>
        <w:rFonts w:ascii="Symbol" w:hAnsi="Symbol" w:hint="default"/>
      </w:rPr>
    </w:lvl>
    <w:lvl w:ilvl="1" w:tplc="2E64080C">
      <w:start w:val="1"/>
      <w:numFmt w:val="bullet"/>
      <w:lvlText w:val=""/>
      <w:lvlJc w:val="left"/>
      <w:pPr>
        <w:ind w:left="1440" w:hanging="360"/>
      </w:pPr>
      <w:rPr>
        <w:rFonts w:ascii="Symbol" w:hAnsi="Symbol" w:hint="default"/>
        <w:b w:val="0"/>
        <w:sz w:val="24"/>
        <w:szCs w:val="24"/>
      </w:rPr>
    </w:lvl>
    <w:lvl w:ilvl="2" w:tplc="2E64080C">
      <w:start w:val="1"/>
      <w:numFmt w:val="bullet"/>
      <w:lvlText w:val=""/>
      <w:lvlJc w:val="left"/>
      <w:pPr>
        <w:ind w:left="2160" w:hanging="360"/>
      </w:pPr>
      <w:rPr>
        <w:rFonts w:ascii="Symbol" w:hAnsi="Symbol" w:hint="default"/>
        <w:b/>
        <w:sz w:val="24"/>
        <w:szCs w:val="24"/>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6CC32D0"/>
    <w:multiLevelType w:val="hybridMultilevel"/>
    <w:tmpl w:val="32E29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848266E"/>
    <w:multiLevelType w:val="hybridMultilevel"/>
    <w:tmpl w:val="EA182BD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88D1447"/>
    <w:multiLevelType w:val="hybridMultilevel"/>
    <w:tmpl w:val="B8D2CEE2"/>
    <w:lvl w:ilvl="0" w:tplc="04070001">
      <w:start w:val="1"/>
      <w:numFmt w:val="bullet"/>
      <w:lvlText w:val=""/>
      <w:lvlJc w:val="left"/>
      <w:pPr>
        <w:ind w:left="360" w:hanging="360"/>
      </w:pPr>
      <w:rPr>
        <w:rFonts w:ascii="Symbol" w:hAnsi="Symbol" w:hint="default"/>
      </w:rPr>
    </w:lvl>
    <w:lvl w:ilvl="1" w:tplc="2E64080C">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98526A7"/>
    <w:multiLevelType w:val="hybridMultilevel"/>
    <w:tmpl w:val="640CA358"/>
    <w:lvl w:ilvl="0" w:tplc="2BD29760">
      <w:start w:val="5"/>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A706279"/>
    <w:multiLevelType w:val="hybridMultilevel"/>
    <w:tmpl w:val="5A12EB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A8F1679"/>
    <w:multiLevelType w:val="hybridMultilevel"/>
    <w:tmpl w:val="7B46B4C6"/>
    <w:lvl w:ilvl="0" w:tplc="88D24602">
      <w:start w:val="1"/>
      <w:numFmt w:val="decimal"/>
      <w:lvlText w:val="%1."/>
      <w:lvlJc w:val="left"/>
      <w:pPr>
        <w:ind w:left="776" w:hanging="360"/>
      </w:pPr>
      <w:rPr>
        <w:b/>
        <w:sz w:val="24"/>
        <w:szCs w:val="24"/>
      </w:rPr>
    </w:lvl>
    <w:lvl w:ilvl="1" w:tplc="04070001">
      <w:start w:val="1"/>
      <w:numFmt w:val="bullet"/>
      <w:lvlText w:val=""/>
      <w:lvlJc w:val="left"/>
      <w:pPr>
        <w:ind w:left="1496" w:hanging="360"/>
      </w:pPr>
      <w:rPr>
        <w:rFonts w:ascii="Symbol" w:hAnsi="Symbol" w:hint="default"/>
      </w:rPr>
    </w:lvl>
    <w:lvl w:ilvl="2" w:tplc="0407001B" w:tentative="1">
      <w:start w:val="1"/>
      <w:numFmt w:val="lowerRoman"/>
      <w:lvlText w:val="%3."/>
      <w:lvlJc w:val="right"/>
      <w:pPr>
        <w:ind w:left="2216" w:hanging="180"/>
      </w:pPr>
    </w:lvl>
    <w:lvl w:ilvl="3" w:tplc="0407000F" w:tentative="1">
      <w:start w:val="1"/>
      <w:numFmt w:val="decimal"/>
      <w:lvlText w:val="%4."/>
      <w:lvlJc w:val="left"/>
      <w:pPr>
        <w:ind w:left="2936" w:hanging="360"/>
      </w:pPr>
    </w:lvl>
    <w:lvl w:ilvl="4" w:tplc="04070019" w:tentative="1">
      <w:start w:val="1"/>
      <w:numFmt w:val="lowerLetter"/>
      <w:lvlText w:val="%5."/>
      <w:lvlJc w:val="left"/>
      <w:pPr>
        <w:ind w:left="3656" w:hanging="360"/>
      </w:pPr>
    </w:lvl>
    <w:lvl w:ilvl="5" w:tplc="0407001B" w:tentative="1">
      <w:start w:val="1"/>
      <w:numFmt w:val="lowerRoman"/>
      <w:lvlText w:val="%6."/>
      <w:lvlJc w:val="right"/>
      <w:pPr>
        <w:ind w:left="4376" w:hanging="180"/>
      </w:pPr>
    </w:lvl>
    <w:lvl w:ilvl="6" w:tplc="0407000F" w:tentative="1">
      <w:start w:val="1"/>
      <w:numFmt w:val="decimal"/>
      <w:lvlText w:val="%7."/>
      <w:lvlJc w:val="left"/>
      <w:pPr>
        <w:ind w:left="5096" w:hanging="360"/>
      </w:pPr>
    </w:lvl>
    <w:lvl w:ilvl="7" w:tplc="04070019" w:tentative="1">
      <w:start w:val="1"/>
      <w:numFmt w:val="lowerLetter"/>
      <w:lvlText w:val="%8."/>
      <w:lvlJc w:val="left"/>
      <w:pPr>
        <w:ind w:left="5816" w:hanging="360"/>
      </w:pPr>
    </w:lvl>
    <w:lvl w:ilvl="8" w:tplc="0407001B" w:tentative="1">
      <w:start w:val="1"/>
      <w:numFmt w:val="lowerRoman"/>
      <w:lvlText w:val="%9."/>
      <w:lvlJc w:val="right"/>
      <w:pPr>
        <w:ind w:left="6536" w:hanging="180"/>
      </w:pPr>
    </w:lvl>
  </w:abstractNum>
  <w:num w:numId="1">
    <w:abstractNumId w:val="2"/>
  </w:num>
  <w:num w:numId="2">
    <w:abstractNumId w:val="12"/>
  </w:num>
  <w:num w:numId="3">
    <w:abstractNumId w:val="22"/>
  </w:num>
  <w:num w:numId="4">
    <w:abstractNumId w:val="8"/>
  </w:num>
  <w:num w:numId="5">
    <w:abstractNumId w:val="0"/>
  </w:num>
  <w:num w:numId="6">
    <w:abstractNumId w:val="4"/>
  </w:num>
  <w:num w:numId="7">
    <w:abstractNumId w:val="1"/>
  </w:num>
  <w:num w:numId="8">
    <w:abstractNumId w:val="30"/>
  </w:num>
  <w:num w:numId="9">
    <w:abstractNumId w:val="19"/>
  </w:num>
  <w:num w:numId="10">
    <w:abstractNumId w:val="28"/>
  </w:num>
  <w:num w:numId="11">
    <w:abstractNumId w:val="14"/>
  </w:num>
  <w:num w:numId="12">
    <w:abstractNumId w:val="25"/>
  </w:num>
  <w:num w:numId="13">
    <w:abstractNumId w:val="26"/>
  </w:num>
  <w:num w:numId="14">
    <w:abstractNumId w:val="18"/>
  </w:num>
  <w:num w:numId="15">
    <w:abstractNumId w:val="16"/>
  </w:num>
  <w:num w:numId="16">
    <w:abstractNumId w:val="35"/>
  </w:num>
  <w:num w:numId="17">
    <w:abstractNumId w:val="3"/>
  </w:num>
  <w:num w:numId="18">
    <w:abstractNumId w:val="29"/>
  </w:num>
  <w:num w:numId="19">
    <w:abstractNumId w:val="34"/>
  </w:num>
  <w:num w:numId="20">
    <w:abstractNumId w:val="23"/>
  </w:num>
  <w:num w:numId="21">
    <w:abstractNumId w:val="7"/>
  </w:num>
  <w:num w:numId="22">
    <w:abstractNumId w:val="17"/>
  </w:num>
  <w:num w:numId="23">
    <w:abstractNumId w:val="31"/>
  </w:num>
  <w:num w:numId="24">
    <w:abstractNumId w:val="24"/>
  </w:num>
  <w:num w:numId="25">
    <w:abstractNumId w:val="20"/>
  </w:num>
  <w:num w:numId="26">
    <w:abstractNumId w:val="33"/>
  </w:num>
  <w:num w:numId="27">
    <w:abstractNumId w:val="9"/>
  </w:num>
  <w:num w:numId="28">
    <w:abstractNumId w:val="13"/>
  </w:num>
  <w:num w:numId="29">
    <w:abstractNumId w:val="6"/>
  </w:num>
  <w:num w:numId="30">
    <w:abstractNumId w:val="27"/>
  </w:num>
  <w:num w:numId="31">
    <w:abstractNumId w:val="11"/>
  </w:num>
  <w:num w:numId="32">
    <w:abstractNumId w:val="5"/>
  </w:num>
  <w:num w:numId="33">
    <w:abstractNumId w:val="10"/>
  </w:num>
  <w:num w:numId="34">
    <w:abstractNumId w:val="15"/>
  </w:num>
  <w:num w:numId="35">
    <w:abstractNumId w:val="21"/>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1F"/>
    <w:rsid w:val="00010D85"/>
    <w:rsid w:val="00014149"/>
    <w:rsid w:val="0001481A"/>
    <w:rsid w:val="00015A3D"/>
    <w:rsid w:val="00021B05"/>
    <w:rsid w:val="00025F75"/>
    <w:rsid w:val="000278A7"/>
    <w:rsid w:val="0003109B"/>
    <w:rsid w:val="00032244"/>
    <w:rsid w:val="00040527"/>
    <w:rsid w:val="00040AFE"/>
    <w:rsid w:val="00040BA9"/>
    <w:rsid w:val="00041BA8"/>
    <w:rsid w:val="00042698"/>
    <w:rsid w:val="00045B35"/>
    <w:rsid w:val="0004644F"/>
    <w:rsid w:val="00047584"/>
    <w:rsid w:val="00052B20"/>
    <w:rsid w:val="00053290"/>
    <w:rsid w:val="00053A2F"/>
    <w:rsid w:val="000541FF"/>
    <w:rsid w:val="000561E6"/>
    <w:rsid w:val="00057636"/>
    <w:rsid w:val="00071EA3"/>
    <w:rsid w:val="00072F44"/>
    <w:rsid w:val="00073326"/>
    <w:rsid w:val="0007412C"/>
    <w:rsid w:val="0007790A"/>
    <w:rsid w:val="00081043"/>
    <w:rsid w:val="00082CFA"/>
    <w:rsid w:val="00082DDC"/>
    <w:rsid w:val="0008684E"/>
    <w:rsid w:val="00090DC1"/>
    <w:rsid w:val="00094732"/>
    <w:rsid w:val="00094C5A"/>
    <w:rsid w:val="000A1B7D"/>
    <w:rsid w:val="000A3E24"/>
    <w:rsid w:val="000A54C4"/>
    <w:rsid w:val="000B0D34"/>
    <w:rsid w:val="000B1BDA"/>
    <w:rsid w:val="000B2070"/>
    <w:rsid w:val="000B3D6D"/>
    <w:rsid w:val="000B4E03"/>
    <w:rsid w:val="000B6A9A"/>
    <w:rsid w:val="000C0AE4"/>
    <w:rsid w:val="000C1099"/>
    <w:rsid w:val="000C7046"/>
    <w:rsid w:val="000C79D9"/>
    <w:rsid w:val="000D67ED"/>
    <w:rsid w:val="000D754D"/>
    <w:rsid w:val="000E1519"/>
    <w:rsid w:val="000E2D45"/>
    <w:rsid w:val="000E51B0"/>
    <w:rsid w:val="000F5849"/>
    <w:rsid w:val="00103A95"/>
    <w:rsid w:val="0010604F"/>
    <w:rsid w:val="00113A48"/>
    <w:rsid w:val="0012296F"/>
    <w:rsid w:val="00122DBD"/>
    <w:rsid w:val="00123552"/>
    <w:rsid w:val="00125525"/>
    <w:rsid w:val="00125EAB"/>
    <w:rsid w:val="00127ADA"/>
    <w:rsid w:val="001305CD"/>
    <w:rsid w:val="00130EB6"/>
    <w:rsid w:val="001411DB"/>
    <w:rsid w:val="00142A7E"/>
    <w:rsid w:val="0014324C"/>
    <w:rsid w:val="00146E32"/>
    <w:rsid w:val="001477B9"/>
    <w:rsid w:val="0015250E"/>
    <w:rsid w:val="00152EC6"/>
    <w:rsid w:val="0015439E"/>
    <w:rsid w:val="001562B0"/>
    <w:rsid w:val="00167909"/>
    <w:rsid w:val="00171068"/>
    <w:rsid w:val="00175107"/>
    <w:rsid w:val="00181CB1"/>
    <w:rsid w:val="00182D10"/>
    <w:rsid w:val="00184EF0"/>
    <w:rsid w:val="0018798B"/>
    <w:rsid w:val="0019449A"/>
    <w:rsid w:val="00194805"/>
    <w:rsid w:val="0019495E"/>
    <w:rsid w:val="0019710C"/>
    <w:rsid w:val="001A5E6C"/>
    <w:rsid w:val="001B3D86"/>
    <w:rsid w:val="001B4866"/>
    <w:rsid w:val="001C0FA4"/>
    <w:rsid w:val="001C45FD"/>
    <w:rsid w:val="001C48D2"/>
    <w:rsid w:val="001D43A3"/>
    <w:rsid w:val="001D783A"/>
    <w:rsid w:val="001E120D"/>
    <w:rsid w:val="001F2513"/>
    <w:rsid w:val="00200E6D"/>
    <w:rsid w:val="00204DA5"/>
    <w:rsid w:val="00204E1F"/>
    <w:rsid w:val="0021104E"/>
    <w:rsid w:val="00213A4B"/>
    <w:rsid w:val="002147B2"/>
    <w:rsid w:val="002150CB"/>
    <w:rsid w:val="00221127"/>
    <w:rsid w:val="002446C3"/>
    <w:rsid w:val="0024711B"/>
    <w:rsid w:val="00247EB7"/>
    <w:rsid w:val="00251CA9"/>
    <w:rsid w:val="00251D98"/>
    <w:rsid w:val="00257719"/>
    <w:rsid w:val="00262832"/>
    <w:rsid w:val="00273545"/>
    <w:rsid w:val="0027752F"/>
    <w:rsid w:val="00281695"/>
    <w:rsid w:val="002842C0"/>
    <w:rsid w:val="00286315"/>
    <w:rsid w:val="002A010A"/>
    <w:rsid w:val="002A6E5A"/>
    <w:rsid w:val="002B4097"/>
    <w:rsid w:val="002B4663"/>
    <w:rsid w:val="002B59D9"/>
    <w:rsid w:val="002C3E3D"/>
    <w:rsid w:val="002C549E"/>
    <w:rsid w:val="002C6A54"/>
    <w:rsid w:val="002D2179"/>
    <w:rsid w:val="002D3CFB"/>
    <w:rsid w:val="002D4D40"/>
    <w:rsid w:val="002E0DA8"/>
    <w:rsid w:val="002E21B4"/>
    <w:rsid w:val="002E3169"/>
    <w:rsid w:val="002F0B2A"/>
    <w:rsid w:val="00302CA4"/>
    <w:rsid w:val="00317325"/>
    <w:rsid w:val="003206AA"/>
    <w:rsid w:val="00323FE1"/>
    <w:rsid w:val="00327C1F"/>
    <w:rsid w:val="00330285"/>
    <w:rsid w:val="00342532"/>
    <w:rsid w:val="0034398A"/>
    <w:rsid w:val="00344181"/>
    <w:rsid w:val="00345034"/>
    <w:rsid w:val="003455CA"/>
    <w:rsid w:val="00346252"/>
    <w:rsid w:val="003521D0"/>
    <w:rsid w:val="003639A7"/>
    <w:rsid w:val="003672BE"/>
    <w:rsid w:val="003701F5"/>
    <w:rsid w:val="00372A95"/>
    <w:rsid w:val="003736E7"/>
    <w:rsid w:val="00375C45"/>
    <w:rsid w:val="00377941"/>
    <w:rsid w:val="00387626"/>
    <w:rsid w:val="003907A6"/>
    <w:rsid w:val="00391F3B"/>
    <w:rsid w:val="00392388"/>
    <w:rsid w:val="00392E51"/>
    <w:rsid w:val="003972D4"/>
    <w:rsid w:val="003A0B99"/>
    <w:rsid w:val="003A3174"/>
    <w:rsid w:val="003A7F44"/>
    <w:rsid w:val="003C01D1"/>
    <w:rsid w:val="003C21B8"/>
    <w:rsid w:val="003C3B08"/>
    <w:rsid w:val="003C453F"/>
    <w:rsid w:val="003C6289"/>
    <w:rsid w:val="003D084B"/>
    <w:rsid w:val="003D303D"/>
    <w:rsid w:val="003D7145"/>
    <w:rsid w:val="003E0DB1"/>
    <w:rsid w:val="003E57C8"/>
    <w:rsid w:val="003E7584"/>
    <w:rsid w:val="003F0F43"/>
    <w:rsid w:val="003F6A43"/>
    <w:rsid w:val="003F7FBE"/>
    <w:rsid w:val="00400731"/>
    <w:rsid w:val="00404F8E"/>
    <w:rsid w:val="00406AD3"/>
    <w:rsid w:val="00407BD7"/>
    <w:rsid w:val="00410D23"/>
    <w:rsid w:val="004135A6"/>
    <w:rsid w:val="00420FE6"/>
    <w:rsid w:val="0042144C"/>
    <w:rsid w:val="004236EE"/>
    <w:rsid w:val="00423DFB"/>
    <w:rsid w:val="004254F3"/>
    <w:rsid w:val="00434024"/>
    <w:rsid w:val="00434EA1"/>
    <w:rsid w:val="004379CE"/>
    <w:rsid w:val="00442E4A"/>
    <w:rsid w:val="00443A27"/>
    <w:rsid w:val="00443F8D"/>
    <w:rsid w:val="0045435D"/>
    <w:rsid w:val="00454798"/>
    <w:rsid w:val="0045683F"/>
    <w:rsid w:val="00462E49"/>
    <w:rsid w:val="0047152A"/>
    <w:rsid w:val="00474E7B"/>
    <w:rsid w:val="00480C5C"/>
    <w:rsid w:val="00481B77"/>
    <w:rsid w:val="0048488C"/>
    <w:rsid w:val="004949B4"/>
    <w:rsid w:val="00494A26"/>
    <w:rsid w:val="004A3D23"/>
    <w:rsid w:val="004A3F9F"/>
    <w:rsid w:val="004A4EC9"/>
    <w:rsid w:val="004B0D83"/>
    <w:rsid w:val="004B2C0B"/>
    <w:rsid w:val="004C01BB"/>
    <w:rsid w:val="004C0F7F"/>
    <w:rsid w:val="004C27AD"/>
    <w:rsid w:val="004C43FC"/>
    <w:rsid w:val="004D1C85"/>
    <w:rsid w:val="004D3C94"/>
    <w:rsid w:val="004D4346"/>
    <w:rsid w:val="004D5D5D"/>
    <w:rsid w:val="004E2A3F"/>
    <w:rsid w:val="004E7D2C"/>
    <w:rsid w:val="004F1E20"/>
    <w:rsid w:val="004F45C4"/>
    <w:rsid w:val="00505846"/>
    <w:rsid w:val="0050799D"/>
    <w:rsid w:val="0052405F"/>
    <w:rsid w:val="00527276"/>
    <w:rsid w:val="00535718"/>
    <w:rsid w:val="005375D4"/>
    <w:rsid w:val="00540528"/>
    <w:rsid w:val="00540650"/>
    <w:rsid w:val="005420FC"/>
    <w:rsid w:val="00543812"/>
    <w:rsid w:val="00547E03"/>
    <w:rsid w:val="00555F69"/>
    <w:rsid w:val="00557159"/>
    <w:rsid w:val="00560F71"/>
    <w:rsid w:val="00572DA8"/>
    <w:rsid w:val="00573912"/>
    <w:rsid w:val="00591F54"/>
    <w:rsid w:val="00592C68"/>
    <w:rsid w:val="00593E33"/>
    <w:rsid w:val="00594AB6"/>
    <w:rsid w:val="005A0B44"/>
    <w:rsid w:val="005A0BFD"/>
    <w:rsid w:val="005A2A1D"/>
    <w:rsid w:val="005A72E1"/>
    <w:rsid w:val="005A778C"/>
    <w:rsid w:val="005B14CF"/>
    <w:rsid w:val="005C0F4D"/>
    <w:rsid w:val="005C7519"/>
    <w:rsid w:val="005C7B0F"/>
    <w:rsid w:val="005D4065"/>
    <w:rsid w:val="005D4096"/>
    <w:rsid w:val="005D6C60"/>
    <w:rsid w:val="005D74D4"/>
    <w:rsid w:val="005D78C1"/>
    <w:rsid w:val="005E1A51"/>
    <w:rsid w:val="005E4376"/>
    <w:rsid w:val="005F0081"/>
    <w:rsid w:val="005F17F6"/>
    <w:rsid w:val="005F2CF6"/>
    <w:rsid w:val="005F3119"/>
    <w:rsid w:val="00600CC2"/>
    <w:rsid w:val="00602077"/>
    <w:rsid w:val="00605149"/>
    <w:rsid w:val="00612F3B"/>
    <w:rsid w:val="006206CF"/>
    <w:rsid w:val="00620815"/>
    <w:rsid w:val="0062311D"/>
    <w:rsid w:val="00625973"/>
    <w:rsid w:val="00625B89"/>
    <w:rsid w:val="00625E97"/>
    <w:rsid w:val="00630215"/>
    <w:rsid w:val="00632D01"/>
    <w:rsid w:val="00634215"/>
    <w:rsid w:val="0063549D"/>
    <w:rsid w:val="00640069"/>
    <w:rsid w:val="006434CC"/>
    <w:rsid w:val="0064464A"/>
    <w:rsid w:val="00646CDE"/>
    <w:rsid w:val="00652102"/>
    <w:rsid w:val="006522B7"/>
    <w:rsid w:val="0065282D"/>
    <w:rsid w:val="006575FE"/>
    <w:rsid w:val="00657E28"/>
    <w:rsid w:val="00664F12"/>
    <w:rsid w:val="00665BD7"/>
    <w:rsid w:val="00675A34"/>
    <w:rsid w:val="0067622F"/>
    <w:rsid w:val="006919F9"/>
    <w:rsid w:val="006A0BA1"/>
    <w:rsid w:val="006A167F"/>
    <w:rsid w:val="006A5ED6"/>
    <w:rsid w:val="006B06A7"/>
    <w:rsid w:val="006B0EEC"/>
    <w:rsid w:val="006B5663"/>
    <w:rsid w:val="006B5B42"/>
    <w:rsid w:val="006B6EB2"/>
    <w:rsid w:val="006C5A1D"/>
    <w:rsid w:val="006D076C"/>
    <w:rsid w:val="006E3E1F"/>
    <w:rsid w:val="006E3EDE"/>
    <w:rsid w:val="006E41D6"/>
    <w:rsid w:val="006E4544"/>
    <w:rsid w:val="006E6CE5"/>
    <w:rsid w:val="006F28F5"/>
    <w:rsid w:val="007064E5"/>
    <w:rsid w:val="00707F76"/>
    <w:rsid w:val="00712041"/>
    <w:rsid w:val="0073564C"/>
    <w:rsid w:val="00736B2D"/>
    <w:rsid w:val="00742483"/>
    <w:rsid w:val="00743DC9"/>
    <w:rsid w:val="00750A59"/>
    <w:rsid w:val="00753616"/>
    <w:rsid w:val="00757EBB"/>
    <w:rsid w:val="00757F7A"/>
    <w:rsid w:val="007606EA"/>
    <w:rsid w:val="00760E02"/>
    <w:rsid w:val="00775EE3"/>
    <w:rsid w:val="0077776E"/>
    <w:rsid w:val="0078266E"/>
    <w:rsid w:val="0078275C"/>
    <w:rsid w:val="00782E5E"/>
    <w:rsid w:val="00783121"/>
    <w:rsid w:val="0078674E"/>
    <w:rsid w:val="007912ED"/>
    <w:rsid w:val="00792387"/>
    <w:rsid w:val="00792746"/>
    <w:rsid w:val="007A09F1"/>
    <w:rsid w:val="007A55AF"/>
    <w:rsid w:val="007A7F20"/>
    <w:rsid w:val="007B48BF"/>
    <w:rsid w:val="007B52F0"/>
    <w:rsid w:val="007B630C"/>
    <w:rsid w:val="007C5BAF"/>
    <w:rsid w:val="007C5CB7"/>
    <w:rsid w:val="007D13CC"/>
    <w:rsid w:val="007D1718"/>
    <w:rsid w:val="007D3D1A"/>
    <w:rsid w:val="007E00A0"/>
    <w:rsid w:val="007E20E5"/>
    <w:rsid w:val="007E24FF"/>
    <w:rsid w:val="007E77E8"/>
    <w:rsid w:val="007F2DB7"/>
    <w:rsid w:val="007F7AAE"/>
    <w:rsid w:val="00800794"/>
    <w:rsid w:val="00815419"/>
    <w:rsid w:val="00821706"/>
    <w:rsid w:val="00822749"/>
    <w:rsid w:val="00826CB6"/>
    <w:rsid w:val="00827959"/>
    <w:rsid w:val="0083365E"/>
    <w:rsid w:val="00833C26"/>
    <w:rsid w:val="008412F0"/>
    <w:rsid w:val="008414DB"/>
    <w:rsid w:val="00841E73"/>
    <w:rsid w:val="00844AF4"/>
    <w:rsid w:val="00844AFF"/>
    <w:rsid w:val="00846AF9"/>
    <w:rsid w:val="0085004C"/>
    <w:rsid w:val="00851858"/>
    <w:rsid w:val="008572A9"/>
    <w:rsid w:val="00861A6A"/>
    <w:rsid w:val="00862231"/>
    <w:rsid w:val="008755EF"/>
    <w:rsid w:val="008761C5"/>
    <w:rsid w:val="008779E9"/>
    <w:rsid w:val="008839AA"/>
    <w:rsid w:val="00883B10"/>
    <w:rsid w:val="0088414D"/>
    <w:rsid w:val="008850E8"/>
    <w:rsid w:val="00886838"/>
    <w:rsid w:val="00886D31"/>
    <w:rsid w:val="00886EF6"/>
    <w:rsid w:val="00897B12"/>
    <w:rsid w:val="008A09A5"/>
    <w:rsid w:val="008A1723"/>
    <w:rsid w:val="008A5663"/>
    <w:rsid w:val="008B1034"/>
    <w:rsid w:val="008B16E5"/>
    <w:rsid w:val="008B26DF"/>
    <w:rsid w:val="008B3BE1"/>
    <w:rsid w:val="008B449F"/>
    <w:rsid w:val="008B54E2"/>
    <w:rsid w:val="008B7494"/>
    <w:rsid w:val="008C1828"/>
    <w:rsid w:val="008C1E7F"/>
    <w:rsid w:val="008C37F8"/>
    <w:rsid w:val="008C3CDA"/>
    <w:rsid w:val="008C4E9A"/>
    <w:rsid w:val="008C5F8E"/>
    <w:rsid w:val="008C625B"/>
    <w:rsid w:val="008D0DF9"/>
    <w:rsid w:val="008D2298"/>
    <w:rsid w:val="008D574B"/>
    <w:rsid w:val="008D64E8"/>
    <w:rsid w:val="008E30BC"/>
    <w:rsid w:val="008E78B6"/>
    <w:rsid w:val="008F659B"/>
    <w:rsid w:val="008F78DE"/>
    <w:rsid w:val="009031D0"/>
    <w:rsid w:val="00904AFC"/>
    <w:rsid w:val="0090522B"/>
    <w:rsid w:val="009108F3"/>
    <w:rsid w:val="009142E1"/>
    <w:rsid w:val="009156DA"/>
    <w:rsid w:val="0092165F"/>
    <w:rsid w:val="00923034"/>
    <w:rsid w:val="00925C25"/>
    <w:rsid w:val="009314E4"/>
    <w:rsid w:val="00936A16"/>
    <w:rsid w:val="009377B8"/>
    <w:rsid w:val="00941660"/>
    <w:rsid w:val="00950D24"/>
    <w:rsid w:val="00952D3F"/>
    <w:rsid w:val="00953594"/>
    <w:rsid w:val="00957728"/>
    <w:rsid w:val="009579AF"/>
    <w:rsid w:val="0096031E"/>
    <w:rsid w:val="009609E5"/>
    <w:rsid w:val="009652A0"/>
    <w:rsid w:val="0096705B"/>
    <w:rsid w:val="009725B8"/>
    <w:rsid w:val="0097275E"/>
    <w:rsid w:val="009822AF"/>
    <w:rsid w:val="00982451"/>
    <w:rsid w:val="009829DF"/>
    <w:rsid w:val="009878F5"/>
    <w:rsid w:val="009906E8"/>
    <w:rsid w:val="009967DF"/>
    <w:rsid w:val="00996B38"/>
    <w:rsid w:val="0099768A"/>
    <w:rsid w:val="009A2424"/>
    <w:rsid w:val="009A6030"/>
    <w:rsid w:val="009A763A"/>
    <w:rsid w:val="009A7A94"/>
    <w:rsid w:val="009B6641"/>
    <w:rsid w:val="009C1261"/>
    <w:rsid w:val="009C280C"/>
    <w:rsid w:val="009C511C"/>
    <w:rsid w:val="009D510F"/>
    <w:rsid w:val="009E1746"/>
    <w:rsid w:val="009E7C1D"/>
    <w:rsid w:val="009F1083"/>
    <w:rsid w:val="009F1A20"/>
    <w:rsid w:val="009F51A6"/>
    <w:rsid w:val="00A00A34"/>
    <w:rsid w:val="00A01868"/>
    <w:rsid w:val="00A018A4"/>
    <w:rsid w:val="00A02ECE"/>
    <w:rsid w:val="00A129A4"/>
    <w:rsid w:val="00A14463"/>
    <w:rsid w:val="00A14C80"/>
    <w:rsid w:val="00A151DB"/>
    <w:rsid w:val="00A226F2"/>
    <w:rsid w:val="00A236C3"/>
    <w:rsid w:val="00A250AF"/>
    <w:rsid w:val="00A2516B"/>
    <w:rsid w:val="00A2776F"/>
    <w:rsid w:val="00A334DB"/>
    <w:rsid w:val="00A33DB4"/>
    <w:rsid w:val="00A369C3"/>
    <w:rsid w:val="00A46F0F"/>
    <w:rsid w:val="00A52424"/>
    <w:rsid w:val="00A557B8"/>
    <w:rsid w:val="00A55FB1"/>
    <w:rsid w:val="00A571F4"/>
    <w:rsid w:val="00A658EF"/>
    <w:rsid w:val="00A674B7"/>
    <w:rsid w:val="00A67620"/>
    <w:rsid w:val="00A739C1"/>
    <w:rsid w:val="00A74789"/>
    <w:rsid w:val="00A75085"/>
    <w:rsid w:val="00A76494"/>
    <w:rsid w:val="00A82C5F"/>
    <w:rsid w:val="00A8349B"/>
    <w:rsid w:val="00A9752E"/>
    <w:rsid w:val="00AA1694"/>
    <w:rsid w:val="00AA2109"/>
    <w:rsid w:val="00AA3CF9"/>
    <w:rsid w:val="00AA5F7D"/>
    <w:rsid w:val="00AA6473"/>
    <w:rsid w:val="00AB0209"/>
    <w:rsid w:val="00AB0351"/>
    <w:rsid w:val="00AB55F6"/>
    <w:rsid w:val="00AB7A0F"/>
    <w:rsid w:val="00AC0BC1"/>
    <w:rsid w:val="00AC1D2D"/>
    <w:rsid w:val="00AC5C41"/>
    <w:rsid w:val="00AD17C0"/>
    <w:rsid w:val="00AD24B4"/>
    <w:rsid w:val="00AD31C7"/>
    <w:rsid w:val="00AD3802"/>
    <w:rsid w:val="00AD7E7B"/>
    <w:rsid w:val="00AE2E99"/>
    <w:rsid w:val="00AE446F"/>
    <w:rsid w:val="00AE5A26"/>
    <w:rsid w:val="00AF1270"/>
    <w:rsid w:val="00AF13BB"/>
    <w:rsid w:val="00AF32A3"/>
    <w:rsid w:val="00AF6874"/>
    <w:rsid w:val="00B024AF"/>
    <w:rsid w:val="00B0442E"/>
    <w:rsid w:val="00B05D64"/>
    <w:rsid w:val="00B17A15"/>
    <w:rsid w:val="00B22AF9"/>
    <w:rsid w:val="00B23B29"/>
    <w:rsid w:val="00B344C7"/>
    <w:rsid w:val="00B34DDA"/>
    <w:rsid w:val="00B35C29"/>
    <w:rsid w:val="00B37CC6"/>
    <w:rsid w:val="00B41C51"/>
    <w:rsid w:val="00B43067"/>
    <w:rsid w:val="00B43307"/>
    <w:rsid w:val="00B47638"/>
    <w:rsid w:val="00B5024B"/>
    <w:rsid w:val="00B50F0B"/>
    <w:rsid w:val="00B67B92"/>
    <w:rsid w:val="00B72D73"/>
    <w:rsid w:val="00B80393"/>
    <w:rsid w:val="00B82928"/>
    <w:rsid w:val="00B82E19"/>
    <w:rsid w:val="00B86041"/>
    <w:rsid w:val="00B927B2"/>
    <w:rsid w:val="00B9367D"/>
    <w:rsid w:val="00B9513D"/>
    <w:rsid w:val="00BA3CCF"/>
    <w:rsid w:val="00BA7EF2"/>
    <w:rsid w:val="00BB36FA"/>
    <w:rsid w:val="00BB3AAA"/>
    <w:rsid w:val="00BB5748"/>
    <w:rsid w:val="00BB6B3A"/>
    <w:rsid w:val="00BB7167"/>
    <w:rsid w:val="00BC0810"/>
    <w:rsid w:val="00BC11A9"/>
    <w:rsid w:val="00BC7BA6"/>
    <w:rsid w:val="00BD14FA"/>
    <w:rsid w:val="00BE1412"/>
    <w:rsid w:val="00BE44B7"/>
    <w:rsid w:val="00BE5694"/>
    <w:rsid w:val="00BE721F"/>
    <w:rsid w:val="00BF1586"/>
    <w:rsid w:val="00BF7B8D"/>
    <w:rsid w:val="00C05A23"/>
    <w:rsid w:val="00C0614E"/>
    <w:rsid w:val="00C07B63"/>
    <w:rsid w:val="00C13D55"/>
    <w:rsid w:val="00C16F92"/>
    <w:rsid w:val="00C22E29"/>
    <w:rsid w:val="00C24780"/>
    <w:rsid w:val="00C27148"/>
    <w:rsid w:val="00C3021B"/>
    <w:rsid w:val="00C34EE5"/>
    <w:rsid w:val="00C360B4"/>
    <w:rsid w:val="00C365D1"/>
    <w:rsid w:val="00C374B3"/>
    <w:rsid w:val="00C447F3"/>
    <w:rsid w:val="00C44EAC"/>
    <w:rsid w:val="00C4587F"/>
    <w:rsid w:val="00C47BCF"/>
    <w:rsid w:val="00C519D1"/>
    <w:rsid w:val="00C51DBF"/>
    <w:rsid w:val="00C67544"/>
    <w:rsid w:val="00C709A6"/>
    <w:rsid w:val="00C714A2"/>
    <w:rsid w:val="00C73D08"/>
    <w:rsid w:val="00C748D6"/>
    <w:rsid w:val="00C810A9"/>
    <w:rsid w:val="00C849FC"/>
    <w:rsid w:val="00C8630B"/>
    <w:rsid w:val="00C86FA9"/>
    <w:rsid w:val="00C87563"/>
    <w:rsid w:val="00C90074"/>
    <w:rsid w:val="00CA1657"/>
    <w:rsid w:val="00CA5D63"/>
    <w:rsid w:val="00CB27C8"/>
    <w:rsid w:val="00CB440E"/>
    <w:rsid w:val="00CB4776"/>
    <w:rsid w:val="00CB566A"/>
    <w:rsid w:val="00CB5A3C"/>
    <w:rsid w:val="00CB793F"/>
    <w:rsid w:val="00CB7E77"/>
    <w:rsid w:val="00CC131D"/>
    <w:rsid w:val="00CC173C"/>
    <w:rsid w:val="00CC2FC7"/>
    <w:rsid w:val="00CD1F05"/>
    <w:rsid w:val="00CD3C97"/>
    <w:rsid w:val="00CD4D2F"/>
    <w:rsid w:val="00CD5896"/>
    <w:rsid w:val="00CD7DC0"/>
    <w:rsid w:val="00CF7644"/>
    <w:rsid w:val="00CF77F3"/>
    <w:rsid w:val="00CF7C26"/>
    <w:rsid w:val="00D02F9E"/>
    <w:rsid w:val="00D03F46"/>
    <w:rsid w:val="00D0415C"/>
    <w:rsid w:val="00D04376"/>
    <w:rsid w:val="00D15C01"/>
    <w:rsid w:val="00D15C41"/>
    <w:rsid w:val="00D20C26"/>
    <w:rsid w:val="00D22A4A"/>
    <w:rsid w:val="00D315FB"/>
    <w:rsid w:val="00D32164"/>
    <w:rsid w:val="00D423C1"/>
    <w:rsid w:val="00D47E2C"/>
    <w:rsid w:val="00D540EB"/>
    <w:rsid w:val="00D54F6B"/>
    <w:rsid w:val="00D579DE"/>
    <w:rsid w:val="00D63495"/>
    <w:rsid w:val="00D65A5A"/>
    <w:rsid w:val="00D70705"/>
    <w:rsid w:val="00D71EB4"/>
    <w:rsid w:val="00D840ED"/>
    <w:rsid w:val="00D85804"/>
    <w:rsid w:val="00D87A00"/>
    <w:rsid w:val="00D9403D"/>
    <w:rsid w:val="00D954AF"/>
    <w:rsid w:val="00D971CD"/>
    <w:rsid w:val="00DA6D26"/>
    <w:rsid w:val="00DB02FF"/>
    <w:rsid w:val="00DB15DC"/>
    <w:rsid w:val="00DB1CFC"/>
    <w:rsid w:val="00DC1ED1"/>
    <w:rsid w:val="00DC2583"/>
    <w:rsid w:val="00DD0BF1"/>
    <w:rsid w:val="00DD287B"/>
    <w:rsid w:val="00DD4772"/>
    <w:rsid w:val="00DD4EBE"/>
    <w:rsid w:val="00DE4186"/>
    <w:rsid w:val="00DE609B"/>
    <w:rsid w:val="00DE6BA3"/>
    <w:rsid w:val="00DE7537"/>
    <w:rsid w:val="00DF0357"/>
    <w:rsid w:val="00DF1311"/>
    <w:rsid w:val="00DF18D6"/>
    <w:rsid w:val="00DF54BB"/>
    <w:rsid w:val="00DF5954"/>
    <w:rsid w:val="00DF5CBA"/>
    <w:rsid w:val="00E00526"/>
    <w:rsid w:val="00E00706"/>
    <w:rsid w:val="00E01E5E"/>
    <w:rsid w:val="00E14333"/>
    <w:rsid w:val="00E24CAF"/>
    <w:rsid w:val="00E25677"/>
    <w:rsid w:val="00E275C9"/>
    <w:rsid w:val="00E27A54"/>
    <w:rsid w:val="00E319FE"/>
    <w:rsid w:val="00E31E1C"/>
    <w:rsid w:val="00E3559E"/>
    <w:rsid w:val="00E35DFD"/>
    <w:rsid w:val="00E44943"/>
    <w:rsid w:val="00E4638D"/>
    <w:rsid w:val="00E47E34"/>
    <w:rsid w:val="00E5176B"/>
    <w:rsid w:val="00E532A0"/>
    <w:rsid w:val="00E66689"/>
    <w:rsid w:val="00E673A7"/>
    <w:rsid w:val="00E73EEE"/>
    <w:rsid w:val="00E8069B"/>
    <w:rsid w:val="00E81518"/>
    <w:rsid w:val="00E94FA4"/>
    <w:rsid w:val="00E976B2"/>
    <w:rsid w:val="00EA7A9B"/>
    <w:rsid w:val="00EB7CAD"/>
    <w:rsid w:val="00EC4F88"/>
    <w:rsid w:val="00EC6A15"/>
    <w:rsid w:val="00ED0C33"/>
    <w:rsid w:val="00ED243A"/>
    <w:rsid w:val="00ED53FE"/>
    <w:rsid w:val="00ED58F4"/>
    <w:rsid w:val="00ED6705"/>
    <w:rsid w:val="00EE3A5E"/>
    <w:rsid w:val="00EE3CB7"/>
    <w:rsid w:val="00EF06B4"/>
    <w:rsid w:val="00EF1206"/>
    <w:rsid w:val="00EF151D"/>
    <w:rsid w:val="00EF2C27"/>
    <w:rsid w:val="00EF3400"/>
    <w:rsid w:val="00EF593A"/>
    <w:rsid w:val="00F05D8F"/>
    <w:rsid w:val="00F06ACB"/>
    <w:rsid w:val="00F0729E"/>
    <w:rsid w:val="00F0781A"/>
    <w:rsid w:val="00F1324D"/>
    <w:rsid w:val="00F150AF"/>
    <w:rsid w:val="00F25140"/>
    <w:rsid w:val="00F25C59"/>
    <w:rsid w:val="00F2602A"/>
    <w:rsid w:val="00F3255C"/>
    <w:rsid w:val="00F357FB"/>
    <w:rsid w:val="00F35A7A"/>
    <w:rsid w:val="00F376DD"/>
    <w:rsid w:val="00F43FB2"/>
    <w:rsid w:val="00F52C35"/>
    <w:rsid w:val="00F54E91"/>
    <w:rsid w:val="00F559DE"/>
    <w:rsid w:val="00F57AA9"/>
    <w:rsid w:val="00F64FD8"/>
    <w:rsid w:val="00F65F84"/>
    <w:rsid w:val="00F72920"/>
    <w:rsid w:val="00F805A3"/>
    <w:rsid w:val="00F812FF"/>
    <w:rsid w:val="00F91452"/>
    <w:rsid w:val="00F926C7"/>
    <w:rsid w:val="00F929C3"/>
    <w:rsid w:val="00F97A97"/>
    <w:rsid w:val="00FA16B9"/>
    <w:rsid w:val="00FA5658"/>
    <w:rsid w:val="00FA7D35"/>
    <w:rsid w:val="00FB00C5"/>
    <w:rsid w:val="00FB0EB0"/>
    <w:rsid w:val="00FB1F00"/>
    <w:rsid w:val="00FB2412"/>
    <w:rsid w:val="00FC2A8C"/>
    <w:rsid w:val="00FD5BE4"/>
    <w:rsid w:val="00FE3E1A"/>
    <w:rsid w:val="00FE3F04"/>
    <w:rsid w:val="00FF3758"/>
    <w:rsid w:val="00FF49EB"/>
    <w:rsid w:val="00FF5A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756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D7E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D7E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unhideWhenUsed/>
    <w:qFormat/>
    <w:rsid w:val="00AD7E7B"/>
    <w:pPr>
      <w:spacing w:before="100" w:beforeAutospacing="1" w:after="100" w:afterAutospacing="1"/>
      <w:outlineLvl w:val="2"/>
    </w:pPr>
    <w:rPr>
      <w:rFonts w:asciiTheme="majorHAnsi" w:eastAsiaTheme="minorHAnsi" w:hAnsiTheme="majorHAnsi" w:cs="Times New Roman"/>
      <w:b/>
      <w:bCs/>
    </w:rPr>
  </w:style>
  <w:style w:type="paragraph" w:styleId="berschrift4">
    <w:name w:val="heading 4"/>
    <w:basedOn w:val="Standard"/>
    <w:next w:val="Standard"/>
    <w:link w:val="berschrift4Zchn"/>
    <w:uiPriority w:val="9"/>
    <w:unhideWhenUsed/>
    <w:qFormat/>
    <w:rsid w:val="00AD7E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E1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E3E1F"/>
    <w:rPr>
      <w:rFonts w:ascii="Lucida Grande" w:hAnsi="Lucida Grande"/>
      <w:sz w:val="18"/>
      <w:szCs w:val="18"/>
    </w:rPr>
  </w:style>
  <w:style w:type="paragraph" w:styleId="Kopfzeile">
    <w:name w:val="header"/>
    <w:basedOn w:val="Standard"/>
    <w:link w:val="KopfzeileZchn"/>
    <w:uiPriority w:val="99"/>
    <w:unhideWhenUsed/>
    <w:rsid w:val="006E3E1F"/>
    <w:pPr>
      <w:tabs>
        <w:tab w:val="center" w:pos="4536"/>
        <w:tab w:val="right" w:pos="9072"/>
      </w:tabs>
    </w:pPr>
  </w:style>
  <w:style w:type="character" w:customStyle="1" w:styleId="KopfzeileZchn">
    <w:name w:val="Kopfzeile Zchn"/>
    <w:basedOn w:val="Absatz-Standardschriftart"/>
    <w:link w:val="Kopfzeile"/>
    <w:uiPriority w:val="99"/>
    <w:rsid w:val="006E3E1F"/>
  </w:style>
  <w:style w:type="paragraph" w:styleId="Fuzeile">
    <w:name w:val="footer"/>
    <w:basedOn w:val="Standard"/>
    <w:link w:val="FuzeileZchn"/>
    <w:uiPriority w:val="99"/>
    <w:unhideWhenUsed/>
    <w:rsid w:val="006E3E1F"/>
    <w:pPr>
      <w:tabs>
        <w:tab w:val="center" w:pos="4536"/>
        <w:tab w:val="right" w:pos="9072"/>
      </w:tabs>
    </w:pPr>
  </w:style>
  <w:style w:type="character" w:customStyle="1" w:styleId="FuzeileZchn">
    <w:name w:val="Fußzeile Zchn"/>
    <w:basedOn w:val="Absatz-Standardschriftart"/>
    <w:link w:val="Fuzeile"/>
    <w:uiPriority w:val="99"/>
    <w:rsid w:val="006E3E1F"/>
  </w:style>
  <w:style w:type="paragraph" w:styleId="Funotentext">
    <w:name w:val="footnote text"/>
    <w:basedOn w:val="Standard"/>
    <w:link w:val="FunotentextZchn"/>
    <w:uiPriority w:val="99"/>
    <w:unhideWhenUsed/>
    <w:rsid w:val="0019449A"/>
  </w:style>
  <w:style w:type="character" w:customStyle="1" w:styleId="FunotentextZchn">
    <w:name w:val="Fußnotentext Zchn"/>
    <w:basedOn w:val="Absatz-Standardschriftart"/>
    <w:link w:val="Funotentext"/>
    <w:uiPriority w:val="99"/>
    <w:rsid w:val="0019449A"/>
  </w:style>
  <w:style w:type="character" w:styleId="Funotenzeichen">
    <w:name w:val="footnote reference"/>
    <w:basedOn w:val="Absatz-Standardschriftart"/>
    <w:uiPriority w:val="99"/>
    <w:unhideWhenUsed/>
    <w:rsid w:val="0019449A"/>
    <w:rPr>
      <w:vertAlign w:val="superscript"/>
    </w:rPr>
  </w:style>
  <w:style w:type="paragraph" w:styleId="StandardWeb">
    <w:name w:val="Normal (Web)"/>
    <w:basedOn w:val="Standard"/>
    <w:uiPriority w:val="99"/>
    <w:unhideWhenUsed/>
    <w:rsid w:val="00D87A00"/>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D87A00"/>
    <w:rPr>
      <w:b/>
      <w:bCs/>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D87A00"/>
    <w:pPr>
      <w:ind w:left="720"/>
      <w:contextualSpacing/>
    </w:pPr>
  </w:style>
  <w:style w:type="character" w:styleId="Hyperlink">
    <w:name w:val="Hyperlink"/>
    <w:basedOn w:val="Absatz-Standardschriftart"/>
    <w:uiPriority w:val="99"/>
    <w:unhideWhenUsed/>
    <w:rsid w:val="00D540EB"/>
    <w:rPr>
      <w:color w:val="0000FF" w:themeColor="hyperlink"/>
      <w:u w:val="single"/>
    </w:rPr>
  </w:style>
  <w:style w:type="paragraph" w:customStyle="1" w:styleId="Default">
    <w:name w:val="Default"/>
    <w:rsid w:val="0062311D"/>
    <w:pPr>
      <w:autoSpaceDE w:val="0"/>
      <w:autoSpaceDN w:val="0"/>
      <w:adjustRightInd w:val="0"/>
    </w:pPr>
    <w:rPr>
      <w:rFonts w:ascii="Myriad Pro" w:hAnsi="Myriad Pro" w:cs="Myriad Pro"/>
      <w:color w:val="000000"/>
    </w:rPr>
  </w:style>
  <w:style w:type="character" w:styleId="Seitenzahl">
    <w:name w:val="page number"/>
    <w:basedOn w:val="Absatz-Standardschriftart"/>
    <w:semiHidden/>
    <w:unhideWhenUsed/>
    <w:rsid w:val="008779E9"/>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8839AA"/>
  </w:style>
  <w:style w:type="paragraph" w:customStyle="1" w:styleId="Anlage">
    <w:name w:val="Anlage"/>
    <w:basedOn w:val="Standard"/>
    <w:rsid w:val="008839AA"/>
    <w:pPr>
      <w:tabs>
        <w:tab w:val="left" w:pos="794"/>
      </w:tabs>
      <w:spacing w:before="240"/>
      <w:ind w:left="794" w:hanging="794"/>
    </w:pPr>
    <w:rPr>
      <w:rFonts w:ascii="Arial" w:eastAsia="Times New Roman" w:hAnsi="Arial" w:cs="Times New Roman"/>
      <w:szCs w:val="20"/>
    </w:rPr>
  </w:style>
  <w:style w:type="character" w:styleId="Kommentarzeichen">
    <w:name w:val="annotation reference"/>
    <w:basedOn w:val="Absatz-Standardschriftart"/>
    <w:uiPriority w:val="99"/>
    <w:semiHidden/>
    <w:unhideWhenUsed/>
    <w:rsid w:val="008839AA"/>
    <w:rPr>
      <w:sz w:val="16"/>
      <w:szCs w:val="16"/>
    </w:rPr>
  </w:style>
  <w:style w:type="paragraph" w:styleId="Kommentartext">
    <w:name w:val="annotation text"/>
    <w:basedOn w:val="Standard"/>
    <w:link w:val="KommentartextZchn"/>
    <w:uiPriority w:val="99"/>
    <w:unhideWhenUsed/>
    <w:rsid w:val="008839AA"/>
    <w:rPr>
      <w:sz w:val="20"/>
      <w:szCs w:val="20"/>
    </w:rPr>
  </w:style>
  <w:style w:type="character" w:customStyle="1" w:styleId="KommentartextZchn">
    <w:name w:val="Kommentartext Zchn"/>
    <w:basedOn w:val="Absatz-Standardschriftart"/>
    <w:link w:val="Kommentartext"/>
    <w:uiPriority w:val="99"/>
    <w:rsid w:val="008839AA"/>
    <w:rPr>
      <w:sz w:val="20"/>
      <w:szCs w:val="20"/>
    </w:rPr>
  </w:style>
  <w:style w:type="paragraph" w:styleId="Kommentarthema">
    <w:name w:val="annotation subject"/>
    <w:basedOn w:val="Kommentartext"/>
    <w:next w:val="Kommentartext"/>
    <w:link w:val="KommentarthemaZchn"/>
    <w:uiPriority w:val="99"/>
    <w:semiHidden/>
    <w:unhideWhenUsed/>
    <w:rsid w:val="00EA7A9B"/>
    <w:rPr>
      <w:b/>
      <w:bCs/>
    </w:rPr>
  </w:style>
  <w:style w:type="character" w:customStyle="1" w:styleId="KommentarthemaZchn">
    <w:name w:val="Kommentarthema Zchn"/>
    <w:basedOn w:val="KommentartextZchn"/>
    <w:link w:val="Kommentarthema"/>
    <w:uiPriority w:val="99"/>
    <w:semiHidden/>
    <w:rsid w:val="00EA7A9B"/>
    <w:rPr>
      <w:b/>
      <w:bCs/>
      <w:sz w:val="20"/>
      <w:szCs w:val="20"/>
    </w:rPr>
  </w:style>
  <w:style w:type="character" w:styleId="Endnotenzeichen">
    <w:name w:val="endnote reference"/>
    <w:basedOn w:val="Absatz-Standardschriftart"/>
    <w:uiPriority w:val="99"/>
    <w:semiHidden/>
    <w:unhideWhenUsed/>
    <w:rsid w:val="00213A4B"/>
    <w:rPr>
      <w:vertAlign w:val="superscript"/>
    </w:rPr>
  </w:style>
  <w:style w:type="paragraph" w:styleId="Beschriftung">
    <w:name w:val="caption"/>
    <w:basedOn w:val="Standard"/>
    <w:next w:val="Standard"/>
    <w:uiPriority w:val="35"/>
    <w:unhideWhenUsed/>
    <w:qFormat/>
    <w:rsid w:val="00213A4B"/>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AD7E7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D7E7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D7E7B"/>
    <w:rPr>
      <w:rFonts w:asciiTheme="majorHAnsi" w:eastAsiaTheme="minorHAnsi" w:hAnsiTheme="majorHAnsi" w:cs="Times New Roman"/>
      <w:b/>
      <w:bCs/>
    </w:rPr>
  </w:style>
  <w:style w:type="character" w:customStyle="1" w:styleId="berschrift4Zchn">
    <w:name w:val="Überschrift 4 Zchn"/>
    <w:basedOn w:val="Absatz-Standardschriftart"/>
    <w:link w:val="berschrift4"/>
    <w:uiPriority w:val="9"/>
    <w:rsid w:val="00AD7E7B"/>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AD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Tz">
    <w:name w:val="Text m. Tz."/>
    <w:basedOn w:val="NurText"/>
    <w:link w:val="TextmTzZchn"/>
    <w:rsid w:val="00AD7E7B"/>
    <w:pPr>
      <w:numPr>
        <w:numId w:val="24"/>
      </w:numPr>
      <w:tabs>
        <w:tab w:val="left" w:pos="0"/>
      </w:tabs>
      <w:spacing w:before="198" w:after="57" w:line="312" w:lineRule="auto"/>
    </w:pPr>
    <w:rPr>
      <w:rFonts w:ascii="ITC Charter Com" w:eastAsia="Times New Roman" w:hAnsi="ITC Charter Com" w:cs="Times New Roman"/>
      <w:sz w:val="22"/>
      <w:szCs w:val="20"/>
    </w:rPr>
  </w:style>
  <w:style w:type="character" w:customStyle="1" w:styleId="TextmTzZchn">
    <w:name w:val="Text m. Tz. Zchn"/>
    <w:basedOn w:val="Absatz-Standardschriftart"/>
    <w:link w:val="TextmTz"/>
    <w:locked/>
    <w:rsid w:val="00AD7E7B"/>
    <w:rPr>
      <w:rFonts w:ascii="ITC Charter Com" w:eastAsia="Times New Roman" w:hAnsi="ITC Charter Com" w:cs="Times New Roman"/>
      <w:sz w:val="22"/>
      <w:szCs w:val="20"/>
    </w:rPr>
  </w:style>
  <w:style w:type="paragraph" w:styleId="Inhaltsverzeichnisberschrift">
    <w:name w:val="TOC Heading"/>
    <w:basedOn w:val="berschrift1"/>
    <w:next w:val="Standard"/>
    <w:uiPriority w:val="39"/>
    <w:unhideWhenUsed/>
    <w:qFormat/>
    <w:rsid w:val="00AD7E7B"/>
    <w:pPr>
      <w:spacing w:line="276" w:lineRule="auto"/>
      <w:outlineLvl w:val="9"/>
    </w:pPr>
  </w:style>
  <w:style w:type="paragraph" w:styleId="Verzeichnis1">
    <w:name w:val="toc 1"/>
    <w:basedOn w:val="Standard"/>
    <w:next w:val="Standard"/>
    <w:autoRedefine/>
    <w:uiPriority w:val="39"/>
    <w:unhideWhenUsed/>
    <w:rsid w:val="00AD7E7B"/>
    <w:pPr>
      <w:spacing w:before="120"/>
    </w:pPr>
    <w:rPr>
      <w:b/>
    </w:rPr>
  </w:style>
  <w:style w:type="paragraph" w:styleId="Verzeichnis2">
    <w:name w:val="toc 2"/>
    <w:basedOn w:val="Standard"/>
    <w:next w:val="Standard"/>
    <w:autoRedefine/>
    <w:uiPriority w:val="39"/>
    <w:unhideWhenUsed/>
    <w:rsid w:val="00AD7E7B"/>
    <w:pPr>
      <w:ind w:left="240"/>
    </w:pPr>
    <w:rPr>
      <w:b/>
      <w:sz w:val="22"/>
      <w:szCs w:val="22"/>
    </w:rPr>
  </w:style>
  <w:style w:type="paragraph" w:styleId="Verzeichnis3">
    <w:name w:val="toc 3"/>
    <w:basedOn w:val="Standard"/>
    <w:next w:val="Standard"/>
    <w:autoRedefine/>
    <w:uiPriority w:val="39"/>
    <w:unhideWhenUsed/>
    <w:rsid w:val="00AD7E7B"/>
    <w:pPr>
      <w:ind w:left="480"/>
    </w:pPr>
    <w:rPr>
      <w:sz w:val="22"/>
      <w:szCs w:val="22"/>
    </w:rPr>
  </w:style>
  <w:style w:type="paragraph" w:styleId="NurText">
    <w:name w:val="Plain Text"/>
    <w:basedOn w:val="Standard"/>
    <w:link w:val="NurTextZchn"/>
    <w:uiPriority w:val="99"/>
    <w:semiHidden/>
    <w:unhideWhenUsed/>
    <w:rsid w:val="00AD7E7B"/>
    <w:rPr>
      <w:rFonts w:ascii="Consolas" w:hAnsi="Consolas" w:cs="Consolas"/>
      <w:sz w:val="21"/>
      <w:szCs w:val="21"/>
    </w:rPr>
  </w:style>
  <w:style w:type="character" w:customStyle="1" w:styleId="NurTextZchn">
    <w:name w:val="Nur Text Zchn"/>
    <w:basedOn w:val="Absatz-Standardschriftart"/>
    <w:link w:val="NurText"/>
    <w:uiPriority w:val="99"/>
    <w:semiHidden/>
    <w:rsid w:val="00AD7E7B"/>
    <w:rPr>
      <w:rFonts w:ascii="Consolas" w:hAnsi="Consolas" w:cs="Consolas"/>
      <w:sz w:val="21"/>
      <w:szCs w:val="21"/>
    </w:rPr>
  </w:style>
  <w:style w:type="paragraph" w:styleId="Endnotentext">
    <w:name w:val="endnote text"/>
    <w:basedOn w:val="Standard"/>
    <w:link w:val="EndnotentextZchn"/>
    <w:uiPriority w:val="99"/>
    <w:unhideWhenUsed/>
    <w:rsid w:val="00AD7E7B"/>
    <w:pPr>
      <w:spacing w:line="360" w:lineRule="auto"/>
      <w:jc w:val="both"/>
    </w:pPr>
    <w:rPr>
      <w:rFonts w:ascii="Arial" w:eastAsiaTheme="minorHAnsi" w:hAnsi="Arial"/>
      <w:sz w:val="20"/>
      <w:szCs w:val="20"/>
      <w:lang w:eastAsia="en-US"/>
    </w:rPr>
  </w:style>
  <w:style w:type="character" w:customStyle="1" w:styleId="EndnotentextZchn">
    <w:name w:val="Endnotentext Zchn"/>
    <w:basedOn w:val="Absatz-Standardschriftart"/>
    <w:link w:val="Endnotentext"/>
    <w:uiPriority w:val="99"/>
    <w:rsid w:val="00AD7E7B"/>
    <w:rPr>
      <w:rFonts w:ascii="Arial" w:eastAsiaTheme="minorHAnsi" w:hAnsi="Arial"/>
      <w:sz w:val="20"/>
      <w:szCs w:val="20"/>
      <w:lang w:eastAsia="en-US"/>
    </w:rPr>
  </w:style>
  <w:style w:type="character" w:styleId="BesuchterHyperlink">
    <w:name w:val="FollowedHyperlink"/>
    <w:basedOn w:val="Absatz-Standardschriftart"/>
    <w:uiPriority w:val="99"/>
    <w:semiHidden/>
    <w:unhideWhenUsed/>
    <w:rsid w:val="006400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D7E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D7E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unhideWhenUsed/>
    <w:qFormat/>
    <w:rsid w:val="00AD7E7B"/>
    <w:pPr>
      <w:spacing w:before="100" w:beforeAutospacing="1" w:after="100" w:afterAutospacing="1"/>
      <w:outlineLvl w:val="2"/>
    </w:pPr>
    <w:rPr>
      <w:rFonts w:asciiTheme="majorHAnsi" w:eastAsiaTheme="minorHAnsi" w:hAnsiTheme="majorHAnsi" w:cs="Times New Roman"/>
      <w:b/>
      <w:bCs/>
    </w:rPr>
  </w:style>
  <w:style w:type="paragraph" w:styleId="berschrift4">
    <w:name w:val="heading 4"/>
    <w:basedOn w:val="Standard"/>
    <w:next w:val="Standard"/>
    <w:link w:val="berschrift4Zchn"/>
    <w:uiPriority w:val="9"/>
    <w:unhideWhenUsed/>
    <w:qFormat/>
    <w:rsid w:val="00AD7E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3E1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E3E1F"/>
    <w:rPr>
      <w:rFonts w:ascii="Lucida Grande" w:hAnsi="Lucida Grande"/>
      <w:sz w:val="18"/>
      <w:szCs w:val="18"/>
    </w:rPr>
  </w:style>
  <w:style w:type="paragraph" w:styleId="Kopfzeile">
    <w:name w:val="header"/>
    <w:basedOn w:val="Standard"/>
    <w:link w:val="KopfzeileZchn"/>
    <w:uiPriority w:val="99"/>
    <w:unhideWhenUsed/>
    <w:rsid w:val="006E3E1F"/>
    <w:pPr>
      <w:tabs>
        <w:tab w:val="center" w:pos="4536"/>
        <w:tab w:val="right" w:pos="9072"/>
      </w:tabs>
    </w:pPr>
  </w:style>
  <w:style w:type="character" w:customStyle="1" w:styleId="KopfzeileZchn">
    <w:name w:val="Kopfzeile Zchn"/>
    <w:basedOn w:val="Absatz-Standardschriftart"/>
    <w:link w:val="Kopfzeile"/>
    <w:uiPriority w:val="99"/>
    <w:rsid w:val="006E3E1F"/>
  </w:style>
  <w:style w:type="paragraph" w:styleId="Fuzeile">
    <w:name w:val="footer"/>
    <w:basedOn w:val="Standard"/>
    <w:link w:val="FuzeileZchn"/>
    <w:uiPriority w:val="99"/>
    <w:unhideWhenUsed/>
    <w:rsid w:val="006E3E1F"/>
    <w:pPr>
      <w:tabs>
        <w:tab w:val="center" w:pos="4536"/>
        <w:tab w:val="right" w:pos="9072"/>
      </w:tabs>
    </w:pPr>
  </w:style>
  <w:style w:type="character" w:customStyle="1" w:styleId="FuzeileZchn">
    <w:name w:val="Fußzeile Zchn"/>
    <w:basedOn w:val="Absatz-Standardschriftart"/>
    <w:link w:val="Fuzeile"/>
    <w:uiPriority w:val="99"/>
    <w:rsid w:val="006E3E1F"/>
  </w:style>
  <w:style w:type="paragraph" w:styleId="Funotentext">
    <w:name w:val="footnote text"/>
    <w:basedOn w:val="Standard"/>
    <w:link w:val="FunotentextZchn"/>
    <w:uiPriority w:val="99"/>
    <w:unhideWhenUsed/>
    <w:rsid w:val="0019449A"/>
  </w:style>
  <w:style w:type="character" w:customStyle="1" w:styleId="FunotentextZchn">
    <w:name w:val="Fußnotentext Zchn"/>
    <w:basedOn w:val="Absatz-Standardschriftart"/>
    <w:link w:val="Funotentext"/>
    <w:uiPriority w:val="99"/>
    <w:rsid w:val="0019449A"/>
  </w:style>
  <w:style w:type="character" w:styleId="Funotenzeichen">
    <w:name w:val="footnote reference"/>
    <w:basedOn w:val="Absatz-Standardschriftart"/>
    <w:uiPriority w:val="99"/>
    <w:unhideWhenUsed/>
    <w:rsid w:val="0019449A"/>
    <w:rPr>
      <w:vertAlign w:val="superscript"/>
    </w:rPr>
  </w:style>
  <w:style w:type="paragraph" w:styleId="StandardWeb">
    <w:name w:val="Normal (Web)"/>
    <w:basedOn w:val="Standard"/>
    <w:uiPriority w:val="99"/>
    <w:unhideWhenUsed/>
    <w:rsid w:val="00D87A00"/>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D87A00"/>
    <w:rPr>
      <w:b/>
      <w:bCs/>
    </w:rPr>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D87A00"/>
    <w:pPr>
      <w:ind w:left="720"/>
      <w:contextualSpacing/>
    </w:pPr>
  </w:style>
  <w:style w:type="character" w:styleId="Hyperlink">
    <w:name w:val="Hyperlink"/>
    <w:basedOn w:val="Absatz-Standardschriftart"/>
    <w:uiPriority w:val="99"/>
    <w:unhideWhenUsed/>
    <w:rsid w:val="00D540EB"/>
    <w:rPr>
      <w:color w:val="0000FF" w:themeColor="hyperlink"/>
      <w:u w:val="single"/>
    </w:rPr>
  </w:style>
  <w:style w:type="paragraph" w:customStyle="1" w:styleId="Default">
    <w:name w:val="Default"/>
    <w:rsid w:val="0062311D"/>
    <w:pPr>
      <w:autoSpaceDE w:val="0"/>
      <w:autoSpaceDN w:val="0"/>
      <w:adjustRightInd w:val="0"/>
    </w:pPr>
    <w:rPr>
      <w:rFonts w:ascii="Myriad Pro" w:hAnsi="Myriad Pro" w:cs="Myriad Pro"/>
      <w:color w:val="000000"/>
    </w:rPr>
  </w:style>
  <w:style w:type="character" w:styleId="Seitenzahl">
    <w:name w:val="page number"/>
    <w:basedOn w:val="Absatz-Standardschriftart"/>
    <w:semiHidden/>
    <w:unhideWhenUsed/>
    <w:rsid w:val="008779E9"/>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8839AA"/>
  </w:style>
  <w:style w:type="paragraph" w:customStyle="1" w:styleId="Anlage">
    <w:name w:val="Anlage"/>
    <w:basedOn w:val="Standard"/>
    <w:rsid w:val="008839AA"/>
    <w:pPr>
      <w:tabs>
        <w:tab w:val="left" w:pos="794"/>
      </w:tabs>
      <w:spacing w:before="240"/>
      <w:ind w:left="794" w:hanging="794"/>
    </w:pPr>
    <w:rPr>
      <w:rFonts w:ascii="Arial" w:eastAsia="Times New Roman" w:hAnsi="Arial" w:cs="Times New Roman"/>
      <w:szCs w:val="20"/>
    </w:rPr>
  </w:style>
  <w:style w:type="character" w:styleId="Kommentarzeichen">
    <w:name w:val="annotation reference"/>
    <w:basedOn w:val="Absatz-Standardschriftart"/>
    <w:uiPriority w:val="99"/>
    <w:semiHidden/>
    <w:unhideWhenUsed/>
    <w:rsid w:val="008839AA"/>
    <w:rPr>
      <w:sz w:val="16"/>
      <w:szCs w:val="16"/>
    </w:rPr>
  </w:style>
  <w:style w:type="paragraph" w:styleId="Kommentartext">
    <w:name w:val="annotation text"/>
    <w:basedOn w:val="Standard"/>
    <w:link w:val="KommentartextZchn"/>
    <w:uiPriority w:val="99"/>
    <w:unhideWhenUsed/>
    <w:rsid w:val="008839AA"/>
    <w:rPr>
      <w:sz w:val="20"/>
      <w:szCs w:val="20"/>
    </w:rPr>
  </w:style>
  <w:style w:type="character" w:customStyle="1" w:styleId="KommentartextZchn">
    <w:name w:val="Kommentartext Zchn"/>
    <w:basedOn w:val="Absatz-Standardschriftart"/>
    <w:link w:val="Kommentartext"/>
    <w:uiPriority w:val="99"/>
    <w:rsid w:val="008839AA"/>
    <w:rPr>
      <w:sz w:val="20"/>
      <w:szCs w:val="20"/>
    </w:rPr>
  </w:style>
  <w:style w:type="paragraph" w:styleId="Kommentarthema">
    <w:name w:val="annotation subject"/>
    <w:basedOn w:val="Kommentartext"/>
    <w:next w:val="Kommentartext"/>
    <w:link w:val="KommentarthemaZchn"/>
    <w:uiPriority w:val="99"/>
    <w:semiHidden/>
    <w:unhideWhenUsed/>
    <w:rsid w:val="00EA7A9B"/>
    <w:rPr>
      <w:b/>
      <w:bCs/>
    </w:rPr>
  </w:style>
  <w:style w:type="character" w:customStyle="1" w:styleId="KommentarthemaZchn">
    <w:name w:val="Kommentarthema Zchn"/>
    <w:basedOn w:val="KommentartextZchn"/>
    <w:link w:val="Kommentarthema"/>
    <w:uiPriority w:val="99"/>
    <w:semiHidden/>
    <w:rsid w:val="00EA7A9B"/>
    <w:rPr>
      <w:b/>
      <w:bCs/>
      <w:sz w:val="20"/>
      <w:szCs w:val="20"/>
    </w:rPr>
  </w:style>
  <w:style w:type="character" w:styleId="Endnotenzeichen">
    <w:name w:val="endnote reference"/>
    <w:basedOn w:val="Absatz-Standardschriftart"/>
    <w:uiPriority w:val="99"/>
    <w:semiHidden/>
    <w:unhideWhenUsed/>
    <w:rsid w:val="00213A4B"/>
    <w:rPr>
      <w:vertAlign w:val="superscript"/>
    </w:rPr>
  </w:style>
  <w:style w:type="paragraph" w:styleId="Beschriftung">
    <w:name w:val="caption"/>
    <w:basedOn w:val="Standard"/>
    <w:next w:val="Standard"/>
    <w:uiPriority w:val="35"/>
    <w:unhideWhenUsed/>
    <w:qFormat/>
    <w:rsid w:val="00213A4B"/>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AD7E7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D7E7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D7E7B"/>
    <w:rPr>
      <w:rFonts w:asciiTheme="majorHAnsi" w:eastAsiaTheme="minorHAnsi" w:hAnsiTheme="majorHAnsi" w:cs="Times New Roman"/>
      <w:b/>
      <w:bCs/>
    </w:rPr>
  </w:style>
  <w:style w:type="character" w:customStyle="1" w:styleId="berschrift4Zchn">
    <w:name w:val="Überschrift 4 Zchn"/>
    <w:basedOn w:val="Absatz-Standardschriftart"/>
    <w:link w:val="berschrift4"/>
    <w:uiPriority w:val="9"/>
    <w:rsid w:val="00AD7E7B"/>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AD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Tz">
    <w:name w:val="Text m. Tz."/>
    <w:basedOn w:val="NurText"/>
    <w:link w:val="TextmTzZchn"/>
    <w:rsid w:val="00AD7E7B"/>
    <w:pPr>
      <w:numPr>
        <w:numId w:val="24"/>
      </w:numPr>
      <w:tabs>
        <w:tab w:val="left" w:pos="0"/>
      </w:tabs>
      <w:spacing w:before="198" w:after="57" w:line="312" w:lineRule="auto"/>
    </w:pPr>
    <w:rPr>
      <w:rFonts w:ascii="ITC Charter Com" w:eastAsia="Times New Roman" w:hAnsi="ITC Charter Com" w:cs="Times New Roman"/>
      <w:sz w:val="22"/>
      <w:szCs w:val="20"/>
    </w:rPr>
  </w:style>
  <w:style w:type="character" w:customStyle="1" w:styleId="TextmTzZchn">
    <w:name w:val="Text m. Tz. Zchn"/>
    <w:basedOn w:val="Absatz-Standardschriftart"/>
    <w:link w:val="TextmTz"/>
    <w:locked/>
    <w:rsid w:val="00AD7E7B"/>
    <w:rPr>
      <w:rFonts w:ascii="ITC Charter Com" w:eastAsia="Times New Roman" w:hAnsi="ITC Charter Com" w:cs="Times New Roman"/>
      <w:sz w:val="22"/>
      <w:szCs w:val="20"/>
    </w:rPr>
  </w:style>
  <w:style w:type="paragraph" w:styleId="Inhaltsverzeichnisberschrift">
    <w:name w:val="TOC Heading"/>
    <w:basedOn w:val="berschrift1"/>
    <w:next w:val="Standard"/>
    <w:uiPriority w:val="39"/>
    <w:unhideWhenUsed/>
    <w:qFormat/>
    <w:rsid w:val="00AD7E7B"/>
    <w:pPr>
      <w:spacing w:line="276" w:lineRule="auto"/>
      <w:outlineLvl w:val="9"/>
    </w:pPr>
  </w:style>
  <w:style w:type="paragraph" w:styleId="Verzeichnis1">
    <w:name w:val="toc 1"/>
    <w:basedOn w:val="Standard"/>
    <w:next w:val="Standard"/>
    <w:autoRedefine/>
    <w:uiPriority w:val="39"/>
    <w:unhideWhenUsed/>
    <w:rsid w:val="00AD7E7B"/>
    <w:pPr>
      <w:spacing w:before="120"/>
    </w:pPr>
    <w:rPr>
      <w:b/>
    </w:rPr>
  </w:style>
  <w:style w:type="paragraph" w:styleId="Verzeichnis2">
    <w:name w:val="toc 2"/>
    <w:basedOn w:val="Standard"/>
    <w:next w:val="Standard"/>
    <w:autoRedefine/>
    <w:uiPriority w:val="39"/>
    <w:unhideWhenUsed/>
    <w:rsid w:val="00AD7E7B"/>
    <w:pPr>
      <w:ind w:left="240"/>
    </w:pPr>
    <w:rPr>
      <w:b/>
      <w:sz w:val="22"/>
      <w:szCs w:val="22"/>
    </w:rPr>
  </w:style>
  <w:style w:type="paragraph" w:styleId="Verzeichnis3">
    <w:name w:val="toc 3"/>
    <w:basedOn w:val="Standard"/>
    <w:next w:val="Standard"/>
    <w:autoRedefine/>
    <w:uiPriority w:val="39"/>
    <w:unhideWhenUsed/>
    <w:rsid w:val="00AD7E7B"/>
    <w:pPr>
      <w:ind w:left="480"/>
    </w:pPr>
    <w:rPr>
      <w:sz w:val="22"/>
      <w:szCs w:val="22"/>
    </w:rPr>
  </w:style>
  <w:style w:type="paragraph" w:styleId="NurText">
    <w:name w:val="Plain Text"/>
    <w:basedOn w:val="Standard"/>
    <w:link w:val="NurTextZchn"/>
    <w:uiPriority w:val="99"/>
    <w:semiHidden/>
    <w:unhideWhenUsed/>
    <w:rsid w:val="00AD7E7B"/>
    <w:rPr>
      <w:rFonts w:ascii="Consolas" w:hAnsi="Consolas" w:cs="Consolas"/>
      <w:sz w:val="21"/>
      <w:szCs w:val="21"/>
    </w:rPr>
  </w:style>
  <w:style w:type="character" w:customStyle="1" w:styleId="NurTextZchn">
    <w:name w:val="Nur Text Zchn"/>
    <w:basedOn w:val="Absatz-Standardschriftart"/>
    <w:link w:val="NurText"/>
    <w:uiPriority w:val="99"/>
    <w:semiHidden/>
    <w:rsid w:val="00AD7E7B"/>
    <w:rPr>
      <w:rFonts w:ascii="Consolas" w:hAnsi="Consolas" w:cs="Consolas"/>
      <w:sz w:val="21"/>
      <w:szCs w:val="21"/>
    </w:rPr>
  </w:style>
  <w:style w:type="paragraph" w:styleId="Endnotentext">
    <w:name w:val="endnote text"/>
    <w:basedOn w:val="Standard"/>
    <w:link w:val="EndnotentextZchn"/>
    <w:uiPriority w:val="99"/>
    <w:unhideWhenUsed/>
    <w:rsid w:val="00AD7E7B"/>
    <w:pPr>
      <w:spacing w:line="360" w:lineRule="auto"/>
      <w:jc w:val="both"/>
    </w:pPr>
    <w:rPr>
      <w:rFonts w:ascii="Arial" w:eastAsiaTheme="minorHAnsi" w:hAnsi="Arial"/>
      <w:sz w:val="20"/>
      <w:szCs w:val="20"/>
      <w:lang w:eastAsia="en-US"/>
    </w:rPr>
  </w:style>
  <w:style w:type="character" w:customStyle="1" w:styleId="EndnotentextZchn">
    <w:name w:val="Endnotentext Zchn"/>
    <w:basedOn w:val="Absatz-Standardschriftart"/>
    <w:link w:val="Endnotentext"/>
    <w:uiPriority w:val="99"/>
    <w:rsid w:val="00AD7E7B"/>
    <w:rPr>
      <w:rFonts w:ascii="Arial" w:eastAsiaTheme="minorHAnsi" w:hAnsi="Arial"/>
      <w:sz w:val="20"/>
      <w:szCs w:val="20"/>
      <w:lang w:eastAsia="en-US"/>
    </w:rPr>
  </w:style>
  <w:style w:type="character" w:styleId="BesuchterHyperlink">
    <w:name w:val="FollowedHyperlink"/>
    <w:basedOn w:val="Absatz-Standardschriftart"/>
    <w:uiPriority w:val="99"/>
    <w:semiHidden/>
    <w:unhideWhenUsed/>
    <w:rsid w:val="00640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015">
      <w:bodyDiv w:val="1"/>
      <w:marLeft w:val="0"/>
      <w:marRight w:val="0"/>
      <w:marTop w:val="0"/>
      <w:marBottom w:val="0"/>
      <w:divBdr>
        <w:top w:val="none" w:sz="0" w:space="0" w:color="auto"/>
        <w:left w:val="none" w:sz="0" w:space="0" w:color="auto"/>
        <w:bottom w:val="none" w:sz="0" w:space="0" w:color="auto"/>
        <w:right w:val="none" w:sz="0" w:space="0" w:color="auto"/>
      </w:divBdr>
    </w:div>
    <w:div w:id="221449990">
      <w:bodyDiv w:val="1"/>
      <w:marLeft w:val="0"/>
      <w:marRight w:val="0"/>
      <w:marTop w:val="0"/>
      <w:marBottom w:val="0"/>
      <w:divBdr>
        <w:top w:val="none" w:sz="0" w:space="0" w:color="auto"/>
        <w:left w:val="none" w:sz="0" w:space="0" w:color="auto"/>
        <w:bottom w:val="none" w:sz="0" w:space="0" w:color="auto"/>
        <w:right w:val="none" w:sz="0" w:space="0" w:color="auto"/>
      </w:divBdr>
    </w:div>
    <w:div w:id="323707459">
      <w:bodyDiv w:val="1"/>
      <w:marLeft w:val="0"/>
      <w:marRight w:val="0"/>
      <w:marTop w:val="0"/>
      <w:marBottom w:val="0"/>
      <w:divBdr>
        <w:top w:val="none" w:sz="0" w:space="0" w:color="auto"/>
        <w:left w:val="none" w:sz="0" w:space="0" w:color="auto"/>
        <w:bottom w:val="none" w:sz="0" w:space="0" w:color="auto"/>
        <w:right w:val="none" w:sz="0" w:space="0" w:color="auto"/>
      </w:divBdr>
    </w:div>
    <w:div w:id="328951960">
      <w:bodyDiv w:val="1"/>
      <w:marLeft w:val="0"/>
      <w:marRight w:val="0"/>
      <w:marTop w:val="0"/>
      <w:marBottom w:val="0"/>
      <w:divBdr>
        <w:top w:val="none" w:sz="0" w:space="0" w:color="auto"/>
        <w:left w:val="none" w:sz="0" w:space="0" w:color="auto"/>
        <w:bottom w:val="none" w:sz="0" w:space="0" w:color="auto"/>
        <w:right w:val="none" w:sz="0" w:space="0" w:color="auto"/>
      </w:divBdr>
    </w:div>
    <w:div w:id="398132454">
      <w:bodyDiv w:val="1"/>
      <w:marLeft w:val="0"/>
      <w:marRight w:val="0"/>
      <w:marTop w:val="0"/>
      <w:marBottom w:val="0"/>
      <w:divBdr>
        <w:top w:val="none" w:sz="0" w:space="0" w:color="auto"/>
        <w:left w:val="none" w:sz="0" w:space="0" w:color="auto"/>
        <w:bottom w:val="none" w:sz="0" w:space="0" w:color="auto"/>
        <w:right w:val="none" w:sz="0" w:space="0" w:color="auto"/>
      </w:divBdr>
    </w:div>
    <w:div w:id="405230985">
      <w:bodyDiv w:val="1"/>
      <w:marLeft w:val="0"/>
      <w:marRight w:val="0"/>
      <w:marTop w:val="0"/>
      <w:marBottom w:val="0"/>
      <w:divBdr>
        <w:top w:val="none" w:sz="0" w:space="0" w:color="auto"/>
        <w:left w:val="none" w:sz="0" w:space="0" w:color="auto"/>
        <w:bottom w:val="none" w:sz="0" w:space="0" w:color="auto"/>
        <w:right w:val="none" w:sz="0" w:space="0" w:color="auto"/>
      </w:divBdr>
      <w:divsChild>
        <w:div w:id="1675494961">
          <w:marLeft w:val="0"/>
          <w:marRight w:val="0"/>
          <w:marTop w:val="0"/>
          <w:marBottom w:val="0"/>
          <w:divBdr>
            <w:top w:val="none" w:sz="0" w:space="0" w:color="auto"/>
            <w:left w:val="none" w:sz="0" w:space="0" w:color="auto"/>
            <w:bottom w:val="none" w:sz="0" w:space="0" w:color="auto"/>
            <w:right w:val="none" w:sz="0" w:space="0" w:color="auto"/>
          </w:divBdr>
          <w:divsChild>
            <w:div w:id="657343879">
              <w:marLeft w:val="0"/>
              <w:marRight w:val="0"/>
              <w:marTop w:val="0"/>
              <w:marBottom w:val="0"/>
              <w:divBdr>
                <w:top w:val="none" w:sz="0" w:space="0" w:color="auto"/>
                <w:left w:val="none" w:sz="0" w:space="0" w:color="auto"/>
                <w:bottom w:val="none" w:sz="0" w:space="0" w:color="auto"/>
                <w:right w:val="none" w:sz="0" w:space="0" w:color="auto"/>
              </w:divBdr>
              <w:divsChild>
                <w:div w:id="1066610339">
                  <w:marLeft w:val="0"/>
                  <w:marRight w:val="0"/>
                  <w:marTop w:val="0"/>
                  <w:marBottom w:val="0"/>
                  <w:divBdr>
                    <w:top w:val="none" w:sz="0" w:space="0" w:color="auto"/>
                    <w:left w:val="none" w:sz="0" w:space="0" w:color="auto"/>
                    <w:bottom w:val="none" w:sz="0" w:space="0" w:color="auto"/>
                    <w:right w:val="none" w:sz="0" w:space="0" w:color="auto"/>
                  </w:divBdr>
                  <w:divsChild>
                    <w:div w:id="1251541684">
                      <w:marLeft w:val="0"/>
                      <w:marRight w:val="0"/>
                      <w:marTop w:val="0"/>
                      <w:marBottom w:val="0"/>
                      <w:divBdr>
                        <w:top w:val="none" w:sz="0" w:space="0" w:color="auto"/>
                        <w:left w:val="none" w:sz="0" w:space="0" w:color="auto"/>
                        <w:bottom w:val="none" w:sz="0" w:space="0" w:color="auto"/>
                        <w:right w:val="none" w:sz="0" w:space="0" w:color="auto"/>
                      </w:divBdr>
                      <w:divsChild>
                        <w:div w:id="1974674513">
                          <w:marLeft w:val="0"/>
                          <w:marRight w:val="0"/>
                          <w:marTop w:val="0"/>
                          <w:marBottom w:val="0"/>
                          <w:divBdr>
                            <w:top w:val="none" w:sz="0" w:space="0" w:color="auto"/>
                            <w:left w:val="none" w:sz="0" w:space="0" w:color="auto"/>
                            <w:bottom w:val="none" w:sz="0" w:space="0" w:color="auto"/>
                            <w:right w:val="none" w:sz="0" w:space="0" w:color="auto"/>
                          </w:divBdr>
                          <w:divsChild>
                            <w:div w:id="1746489433">
                              <w:marLeft w:val="0"/>
                              <w:marRight w:val="0"/>
                              <w:marTop w:val="0"/>
                              <w:marBottom w:val="0"/>
                              <w:divBdr>
                                <w:top w:val="none" w:sz="0" w:space="0" w:color="auto"/>
                                <w:left w:val="none" w:sz="0" w:space="0" w:color="auto"/>
                                <w:bottom w:val="none" w:sz="0" w:space="0" w:color="auto"/>
                                <w:right w:val="none" w:sz="0" w:space="0" w:color="auto"/>
                              </w:divBdr>
                              <w:divsChild>
                                <w:div w:id="1634940170">
                                  <w:marLeft w:val="0"/>
                                  <w:marRight w:val="0"/>
                                  <w:marTop w:val="0"/>
                                  <w:marBottom w:val="0"/>
                                  <w:divBdr>
                                    <w:top w:val="none" w:sz="0" w:space="0" w:color="auto"/>
                                    <w:left w:val="none" w:sz="0" w:space="0" w:color="auto"/>
                                    <w:bottom w:val="none" w:sz="0" w:space="0" w:color="auto"/>
                                    <w:right w:val="none" w:sz="0" w:space="0" w:color="auto"/>
                                  </w:divBdr>
                                  <w:divsChild>
                                    <w:div w:id="10421531">
                                      <w:marLeft w:val="0"/>
                                      <w:marRight w:val="0"/>
                                      <w:marTop w:val="0"/>
                                      <w:marBottom w:val="0"/>
                                      <w:divBdr>
                                        <w:top w:val="none" w:sz="0" w:space="0" w:color="auto"/>
                                        <w:left w:val="none" w:sz="0" w:space="0" w:color="auto"/>
                                        <w:bottom w:val="none" w:sz="0" w:space="0" w:color="auto"/>
                                        <w:right w:val="none" w:sz="0" w:space="0" w:color="auto"/>
                                      </w:divBdr>
                                      <w:divsChild>
                                        <w:div w:id="1510362751">
                                          <w:marLeft w:val="0"/>
                                          <w:marRight w:val="0"/>
                                          <w:marTop w:val="0"/>
                                          <w:marBottom w:val="0"/>
                                          <w:divBdr>
                                            <w:top w:val="none" w:sz="0" w:space="0" w:color="auto"/>
                                            <w:left w:val="none" w:sz="0" w:space="0" w:color="auto"/>
                                            <w:bottom w:val="none" w:sz="0" w:space="0" w:color="auto"/>
                                            <w:right w:val="none" w:sz="0" w:space="0" w:color="auto"/>
                                          </w:divBdr>
                                          <w:divsChild>
                                            <w:div w:id="96801005">
                                              <w:marLeft w:val="0"/>
                                              <w:marRight w:val="0"/>
                                              <w:marTop w:val="0"/>
                                              <w:marBottom w:val="0"/>
                                              <w:divBdr>
                                                <w:top w:val="none" w:sz="0" w:space="0" w:color="auto"/>
                                                <w:left w:val="none" w:sz="0" w:space="0" w:color="auto"/>
                                                <w:bottom w:val="none" w:sz="0" w:space="0" w:color="auto"/>
                                                <w:right w:val="none" w:sz="0" w:space="0" w:color="auto"/>
                                              </w:divBdr>
                                              <w:divsChild>
                                                <w:div w:id="513495252">
                                                  <w:marLeft w:val="0"/>
                                                  <w:marRight w:val="0"/>
                                                  <w:marTop w:val="0"/>
                                                  <w:marBottom w:val="0"/>
                                                  <w:divBdr>
                                                    <w:top w:val="none" w:sz="0" w:space="0" w:color="auto"/>
                                                    <w:left w:val="none" w:sz="0" w:space="0" w:color="auto"/>
                                                    <w:bottom w:val="none" w:sz="0" w:space="0" w:color="auto"/>
                                                    <w:right w:val="none" w:sz="0" w:space="0" w:color="auto"/>
                                                  </w:divBdr>
                                                  <w:divsChild>
                                                    <w:div w:id="1731881715">
                                                      <w:marLeft w:val="0"/>
                                                      <w:marRight w:val="0"/>
                                                      <w:marTop w:val="0"/>
                                                      <w:marBottom w:val="0"/>
                                                      <w:divBdr>
                                                        <w:top w:val="none" w:sz="0" w:space="0" w:color="auto"/>
                                                        <w:left w:val="none" w:sz="0" w:space="0" w:color="auto"/>
                                                        <w:bottom w:val="none" w:sz="0" w:space="0" w:color="auto"/>
                                                        <w:right w:val="none" w:sz="0" w:space="0" w:color="auto"/>
                                                      </w:divBdr>
                                                      <w:divsChild>
                                                        <w:div w:id="897934386">
                                                          <w:marLeft w:val="0"/>
                                                          <w:marRight w:val="0"/>
                                                          <w:marTop w:val="0"/>
                                                          <w:marBottom w:val="0"/>
                                                          <w:divBdr>
                                                            <w:top w:val="none" w:sz="0" w:space="0" w:color="auto"/>
                                                            <w:left w:val="none" w:sz="0" w:space="0" w:color="auto"/>
                                                            <w:bottom w:val="none" w:sz="0" w:space="0" w:color="auto"/>
                                                            <w:right w:val="none" w:sz="0" w:space="0" w:color="auto"/>
                                                          </w:divBdr>
                                                          <w:divsChild>
                                                            <w:div w:id="15632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2317606">
      <w:bodyDiv w:val="1"/>
      <w:marLeft w:val="0"/>
      <w:marRight w:val="0"/>
      <w:marTop w:val="0"/>
      <w:marBottom w:val="0"/>
      <w:divBdr>
        <w:top w:val="none" w:sz="0" w:space="0" w:color="auto"/>
        <w:left w:val="none" w:sz="0" w:space="0" w:color="auto"/>
        <w:bottom w:val="none" w:sz="0" w:space="0" w:color="auto"/>
        <w:right w:val="none" w:sz="0" w:space="0" w:color="auto"/>
      </w:divBdr>
    </w:div>
    <w:div w:id="888227434">
      <w:bodyDiv w:val="1"/>
      <w:marLeft w:val="0"/>
      <w:marRight w:val="0"/>
      <w:marTop w:val="0"/>
      <w:marBottom w:val="0"/>
      <w:divBdr>
        <w:top w:val="none" w:sz="0" w:space="0" w:color="auto"/>
        <w:left w:val="none" w:sz="0" w:space="0" w:color="auto"/>
        <w:bottom w:val="none" w:sz="0" w:space="0" w:color="auto"/>
        <w:right w:val="none" w:sz="0" w:space="0" w:color="auto"/>
      </w:divBdr>
    </w:div>
    <w:div w:id="1022785356">
      <w:bodyDiv w:val="1"/>
      <w:marLeft w:val="0"/>
      <w:marRight w:val="0"/>
      <w:marTop w:val="0"/>
      <w:marBottom w:val="0"/>
      <w:divBdr>
        <w:top w:val="none" w:sz="0" w:space="0" w:color="auto"/>
        <w:left w:val="none" w:sz="0" w:space="0" w:color="auto"/>
        <w:bottom w:val="none" w:sz="0" w:space="0" w:color="auto"/>
        <w:right w:val="none" w:sz="0" w:space="0" w:color="auto"/>
      </w:divBdr>
    </w:div>
    <w:div w:id="1128203492">
      <w:bodyDiv w:val="1"/>
      <w:marLeft w:val="0"/>
      <w:marRight w:val="0"/>
      <w:marTop w:val="0"/>
      <w:marBottom w:val="0"/>
      <w:divBdr>
        <w:top w:val="none" w:sz="0" w:space="0" w:color="auto"/>
        <w:left w:val="none" w:sz="0" w:space="0" w:color="auto"/>
        <w:bottom w:val="none" w:sz="0" w:space="0" w:color="auto"/>
        <w:right w:val="none" w:sz="0" w:space="0" w:color="auto"/>
      </w:divBdr>
    </w:div>
    <w:div w:id="1138719640">
      <w:bodyDiv w:val="1"/>
      <w:marLeft w:val="0"/>
      <w:marRight w:val="0"/>
      <w:marTop w:val="0"/>
      <w:marBottom w:val="0"/>
      <w:divBdr>
        <w:top w:val="none" w:sz="0" w:space="0" w:color="auto"/>
        <w:left w:val="none" w:sz="0" w:space="0" w:color="auto"/>
        <w:bottom w:val="none" w:sz="0" w:space="0" w:color="auto"/>
        <w:right w:val="none" w:sz="0" w:space="0" w:color="auto"/>
      </w:divBdr>
    </w:div>
    <w:div w:id="1398431044">
      <w:bodyDiv w:val="1"/>
      <w:marLeft w:val="0"/>
      <w:marRight w:val="0"/>
      <w:marTop w:val="0"/>
      <w:marBottom w:val="0"/>
      <w:divBdr>
        <w:top w:val="none" w:sz="0" w:space="0" w:color="auto"/>
        <w:left w:val="none" w:sz="0" w:space="0" w:color="auto"/>
        <w:bottom w:val="none" w:sz="0" w:space="0" w:color="auto"/>
        <w:right w:val="none" w:sz="0" w:space="0" w:color="auto"/>
      </w:divBdr>
    </w:div>
    <w:div w:id="1496336363">
      <w:bodyDiv w:val="1"/>
      <w:marLeft w:val="0"/>
      <w:marRight w:val="0"/>
      <w:marTop w:val="0"/>
      <w:marBottom w:val="0"/>
      <w:divBdr>
        <w:top w:val="none" w:sz="0" w:space="0" w:color="auto"/>
        <w:left w:val="none" w:sz="0" w:space="0" w:color="auto"/>
        <w:bottom w:val="none" w:sz="0" w:space="0" w:color="auto"/>
        <w:right w:val="none" w:sz="0" w:space="0" w:color="auto"/>
      </w:divBdr>
    </w:div>
    <w:div w:id="1675523636">
      <w:bodyDiv w:val="1"/>
      <w:marLeft w:val="0"/>
      <w:marRight w:val="0"/>
      <w:marTop w:val="0"/>
      <w:marBottom w:val="0"/>
      <w:divBdr>
        <w:top w:val="none" w:sz="0" w:space="0" w:color="auto"/>
        <w:left w:val="none" w:sz="0" w:space="0" w:color="auto"/>
        <w:bottom w:val="none" w:sz="0" w:space="0" w:color="auto"/>
        <w:right w:val="none" w:sz="0" w:space="0" w:color="auto"/>
      </w:divBdr>
    </w:div>
    <w:div w:id="1777022754">
      <w:bodyDiv w:val="1"/>
      <w:marLeft w:val="0"/>
      <w:marRight w:val="0"/>
      <w:marTop w:val="0"/>
      <w:marBottom w:val="0"/>
      <w:divBdr>
        <w:top w:val="none" w:sz="0" w:space="0" w:color="auto"/>
        <w:left w:val="none" w:sz="0" w:space="0" w:color="auto"/>
        <w:bottom w:val="none" w:sz="0" w:space="0" w:color="auto"/>
        <w:right w:val="none" w:sz="0" w:space="0" w:color="auto"/>
      </w:divBdr>
      <w:divsChild>
        <w:div w:id="1784767264">
          <w:marLeft w:val="0"/>
          <w:marRight w:val="0"/>
          <w:marTop w:val="0"/>
          <w:marBottom w:val="0"/>
          <w:divBdr>
            <w:top w:val="none" w:sz="0" w:space="0" w:color="auto"/>
            <w:left w:val="none" w:sz="0" w:space="0" w:color="auto"/>
            <w:bottom w:val="none" w:sz="0" w:space="0" w:color="auto"/>
            <w:right w:val="none" w:sz="0" w:space="0" w:color="auto"/>
          </w:divBdr>
          <w:divsChild>
            <w:div w:id="1617131041">
              <w:marLeft w:val="0"/>
              <w:marRight w:val="0"/>
              <w:marTop w:val="0"/>
              <w:marBottom w:val="0"/>
              <w:divBdr>
                <w:top w:val="none" w:sz="0" w:space="0" w:color="auto"/>
                <w:left w:val="none" w:sz="0" w:space="0" w:color="auto"/>
                <w:bottom w:val="none" w:sz="0" w:space="0" w:color="auto"/>
                <w:right w:val="none" w:sz="0" w:space="0" w:color="auto"/>
              </w:divBdr>
              <w:divsChild>
                <w:div w:id="1017342202">
                  <w:marLeft w:val="0"/>
                  <w:marRight w:val="0"/>
                  <w:marTop w:val="0"/>
                  <w:marBottom w:val="0"/>
                  <w:divBdr>
                    <w:top w:val="none" w:sz="0" w:space="0" w:color="auto"/>
                    <w:left w:val="none" w:sz="0" w:space="0" w:color="auto"/>
                    <w:bottom w:val="none" w:sz="0" w:space="0" w:color="auto"/>
                    <w:right w:val="none" w:sz="0" w:space="0" w:color="auto"/>
                  </w:divBdr>
                  <w:divsChild>
                    <w:div w:id="1463229547">
                      <w:marLeft w:val="0"/>
                      <w:marRight w:val="0"/>
                      <w:marTop w:val="0"/>
                      <w:marBottom w:val="0"/>
                      <w:divBdr>
                        <w:top w:val="none" w:sz="0" w:space="0" w:color="auto"/>
                        <w:left w:val="none" w:sz="0" w:space="0" w:color="auto"/>
                        <w:bottom w:val="none" w:sz="0" w:space="0" w:color="auto"/>
                        <w:right w:val="none" w:sz="0" w:space="0" w:color="auto"/>
                      </w:divBdr>
                      <w:divsChild>
                        <w:div w:id="679938304">
                          <w:marLeft w:val="0"/>
                          <w:marRight w:val="0"/>
                          <w:marTop w:val="0"/>
                          <w:marBottom w:val="0"/>
                          <w:divBdr>
                            <w:top w:val="none" w:sz="0" w:space="0" w:color="auto"/>
                            <w:left w:val="none" w:sz="0" w:space="0" w:color="auto"/>
                            <w:bottom w:val="none" w:sz="0" w:space="0" w:color="auto"/>
                            <w:right w:val="none" w:sz="0" w:space="0" w:color="auto"/>
                          </w:divBdr>
                          <w:divsChild>
                            <w:div w:id="486288421">
                              <w:marLeft w:val="0"/>
                              <w:marRight w:val="0"/>
                              <w:marTop w:val="0"/>
                              <w:marBottom w:val="300"/>
                              <w:divBdr>
                                <w:top w:val="none" w:sz="0" w:space="0" w:color="auto"/>
                                <w:left w:val="none" w:sz="0" w:space="0" w:color="auto"/>
                                <w:bottom w:val="none" w:sz="0" w:space="0" w:color="auto"/>
                                <w:right w:val="none" w:sz="0" w:space="0" w:color="auto"/>
                              </w:divBdr>
                              <w:divsChild>
                                <w:div w:id="503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www.destatis.de/DE/Publikationen/StatistischesJahrbuch/Arbeitsmarkt.pdf?__blob=publicationFil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bmwi.de/Redaktion/DE/Publikationen/Energie/Bergbaustatistiken/bergbau-in-der-brd-bergwirtschaft-statistik-2015.pdf?__blob=publicationFile&amp;v=7"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statis.de/DE/Publikationen/Verzeichnis/KlassifikationWZ08_3100100089004.pdf;jsessionid=0CEA093B5E7B3662C7D0F71426EA900A.cae3?__blob=publicationFil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estatis.de/DE/ZahlenFakten/GesamtwirtschaftUmwelt/Aussenhandel/Tabellen/EinfuhrAusfuhrGueterabteilungen.html" TargetMode="External"/><Relationship Id="rId23" Type="http://schemas.openxmlformats.org/officeDocument/2006/relationships/fontTable" Target="fontTable.xml"/><Relationship Id="rId10" Type="http://schemas.openxmlformats.org/officeDocument/2006/relationships/hyperlink" Target="https://www.destatis.de/DE/Publikationen/Thematisch/VolkswirtschaftlicheGesamtrechnungen/Inlandsprodukt/InlandsproduktsberechnungEndgueltigXLS_2180140.xlsx?__blob=publicationFile" TargetMode="External"/><Relationship Id="rId19" Type="http://schemas.openxmlformats.org/officeDocument/2006/relationships/hyperlink" Target="https://www.destatis.de/DE/ZahlenFakten/GesamtwirtschaftUmwelt/VGR/Glossar/Bruttowertschoepfung.html" TargetMode="External"/><Relationship Id="rId4" Type="http://schemas.microsoft.com/office/2007/relationships/stylesWithEffects" Target="stylesWithEffects.xml"/><Relationship Id="rId9" Type="http://schemas.openxmlformats.org/officeDocument/2006/relationships/hyperlink" Target="https://www.destatis.de/DE/Publikationen/Thematisch/VolkswirtschaftlicheGesamtrechnungen/Inlandsprodukt/InlandsproduktsberechnungEndgueltigPDF_2180140.pdf?__blob=publicationFile" TargetMode="External"/><Relationship Id="rId14" Type="http://schemas.openxmlformats.org/officeDocument/2006/relationships/hyperlink" Target="https://www-genesis.destatis.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illic_fra\AppData\Local\Temp\51000-000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illic_fra\AppData\Local\Temp\51000-00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'[51000-0005.xlsx]Temporär'!$C$1:$C$11</c:f>
            </c:numRef>
          </c:val>
        </c:ser>
        <c:ser>
          <c:idx val="1"/>
          <c:order val="1"/>
          <c:tx>
            <c:v>Kohle</c:v>
          </c:tx>
          <c:spPr>
            <a:solidFill>
              <a:schemeClr val="tx2"/>
            </a:solidFill>
          </c:spPr>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'[51000-0005.xlsx]Temporär'!$F$8;'[51000-0005.xlsx]Temporär'!$F$14;'[51000-0005.xlsx]Temporär'!$F$20;'[51000-0005.xlsx]Temporär'!$F$26;'[51000-0005.xlsx]Temporär'!$F$32</c:f>
              <c:numCache>
                <c:formatCode>0.00</c:formatCode>
                <c:ptCount val="5"/>
                <c:pt idx="0">
                  <c:v>0.13549700000000001</c:v>
                </c:pt>
                <c:pt idx="1">
                  <c:v>0.12293000000000001</c:v>
                </c:pt>
                <c:pt idx="2">
                  <c:v>0.13487299999999999</c:v>
                </c:pt>
                <c:pt idx="3">
                  <c:v>0.12518499999999999</c:v>
                </c:pt>
                <c:pt idx="4">
                  <c:v>0.116759</c:v>
                </c:pt>
              </c:numCache>
            </c:numRef>
          </c:val>
        </c:ser>
        <c:ser>
          <c:idx val="2"/>
          <c:order val="2"/>
          <c:tx>
            <c:v>Erdöl und Erdgas</c:v>
          </c:tx>
          <c:spPr>
            <a:solidFill>
              <a:schemeClr val="accent2"/>
            </a:solidFill>
          </c:spPr>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'[51000-0005.xlsx]Temporär'!$F$9;'[51000-0005.xlsx]Temporär'!$F$15;'[51000-0005.xlsx]Temporär'!$F$21;'[51000-0005.xlsx]Temporär'!$F$27;'[51000-0005.xlsx]Temporär'!$F$33</c:f>
              <c:numCache>
                <c:formatCode>0.00</c:formatCode>
                <c:ptCount val="5"/>
                <c:pt idx="0">
                  <c:v>5.7474290000000003</c:v>
                </c:pt>
                <c:pt idx="1">
                  <c:v>5.8890549999999999</c:v>
                </c:pt>
                <c:pt idx="2">
                  <c:v>5.4161299999999999</c:v>
                </c:pt>
                <c:pt idx="3">
                  <c:v>8.4220959999999998</c:v>
                </c:pt>
                <c:pt idx="4">
                  <c:v>4.9861040000000001</c:v>
                </c:pt>
              </c:numCache>
            </c:numRef>
          </c:val>
        </c:ser>
        <c:ser>
          <c:idx val="3"/>
          <c:order val="3"/>
          <c:tx>
            <c:v>Erze</c:v>
          </c:tx>
          <c:spPr>
            <a:solidFill>
              <a:schemeClr val="accent3">
                <a:lumMod val="60000"/>
                <a:lumOff val="40000"/>
              </a:schemeClr>
            </a:solidFill>
          </c:spPr>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'[51000-0005.xlsx]Temporär'!$F$10;'[51000-0005.xlsx]Temporär'!$F$16;'[51000-0005.xlsx]Temporär'!$F$22;'[51000-0005.xlsx]Temporär'!$F$28;'[51000-0005.xlsx]Temporär'!$F$34</c:f>
              <c:numCache>
                <c:formatCode>0.00</c:formatCode>
                <c:ptCount val="5"/>
                <c:pt idx="0">
                  <c:v>0.163548</c:v>
                </c:pt>
                <c:pt idx="1">
                  <c:v>0.13317799999999999</c:v>
                </c:pt>
                <c:pt idx="2">
                  <c:v>0.134878</c:v>
                </c:pt>
                <c:pt idx="3">
                  <c:v>0.13368100000000002</c:v>
                </c:pt>
                <c:pt idx="4">
                  <c:v>0.12212199999999999</c:v>
                </c:pt>
              </c:numCache>
            </c:numRef>
          </c:val>
        </c:ser>
        <c:ser>
          <c:idx val="4"/>
          <c:order val="4"/>
          <c:tx>
            <c:v>Steine und Erden</c:v>
          </c:tx>
          <c:spPr>
            <a:solidFill>
              <a:schemeClr val="accent4"/>
            </a:solidFill>
          </c:spPr>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'[51000-0005.xlsx]Temporär'!$F$11;'[51000-0005.xlsx]Temporär'!$F$17;'[51000-0005.xlsx]Temporär'!$F$23;'[51000-0005.xlsx]Temporär'!$F$29;'[51000-0005.xlsx]Temporär'!$F$35</c:f>
              <c:numCache>
                <c:formatCode>0.00</c:formatCode>
                <c:ptCount val="5"/>
                <c:pt idx="0">
                  <c:v>1.36025</c:v>
                </c:pt>
                <c:pt idx="1">
                  <c:v>1.308484</c:v>
                </c:pt>
                <c:pt idx="2">
                  <c:v>1.2947059999999999</c:v>
                </c:pt>
                <c:pt idx="3">
                  <c:v>1.3301120000000002</c:v>
                </c:pt>
                <c:pt idx="4">
                  <c:v>1.341853</c:v>
                </c:pt>
              </c:numCache>
            </c:numRef>
          </c:val>
        </c:ser>
        <c:dLbls>
          <c:showLegendKey val="0"/>
          <c:showVal val="0"/>
          <c:showCatName val="0"/>
          <c:showSerName val="0"/>
          <c:showPercent val="0"/>
          <c:showBubbleSize val="0"/>
        </c:dLbls>
        <c:gapWidth val="150"/>
        <c:overlap val="100"/>
        <c:axId val="130649088"/>
        <c:axId val="130654976"/>
      </c:barChart>
      <c:catAx>
        <c:axId val="130649088"/>
        <c:scaling>
          <c:orientation val="minMax"/>
        </c:scaling>
        <c:delete val="0"/>
        <c:axPos val="b"/>
        <c:majorTickMark val="out"/>
        <c:minorTickMark val="none"/>
        <c:tickLblPos val="nextTo"/>
        <c:crossAx val="130654976"/>
        <c:crosses val="autoZero"/>
        <c:auto val="1"/>
        <c:lblAlgn val="ctr"/>
        <c:lblOffset val="100"/>
        <c:noMultiLvlLbl val="0"/>
      </c:catAx>
      <c:valAx>
        <c:axId val="130654976"/>
        <c:scaling>
          <c:orientation val="minMax"/>
        </c:scaling>
        <c:delete val="0"/>
        <c:axPos val="l"/>
        <c:majorGridlines/>
        <c:title>
          <c:tx>
            <c:rich>
              <a:bodyPr rot="-5400000" vert="horz"/>
              <a:lstStyle/>
              <a:p>
                <a:pPr>
                  <a:defRPr/>
                </a:pPr>
                <a:r>
                  <a:rPr lang="de-DE"/>
                  <a:t>Ausfuhren in Millionen</a:t>
                </a:r>
                <a:r>
                  <a:rPr lang="de-DE" baseline="0"/>
                  <a:t> EUR</a:t>
                </a:r>
                <a:endParaRPr lang="de-DE"/>
              </a:p>
            </c:rich>
          </c:tx>
          <c:layout/>
          <c:overlay val="0"/>
        </c:title>
        <c:numFmt formatCode="0.00" sourceLinked="1"/>
        <c:majorTickMark val="out"/>
        <c:minorTickMark val="none"/>
        <c:tickLblPos val="nextTo"/>
        <c:crossAx val="130649088"/>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Kohle</c:v>
          </c:tx>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'[51000-0005.xlsx]Temporär'!$D$8;'[51000-0005.xlsx]Temporär'!$D$14;'[51000-0005.xlsx]Temporär'!$D$20;'[51000-0005.xlsx]Temporär'!$D$26;'[51000-0005.xlsx]Temporär'!$D$32</c:f>
              <c:numCache>
                <c:formatCode>General</c:formatCode>
                <c:ptCount val="5"/>
                <c:pt idx="0">
                  <c:v>1.4100798999999999</c:v>
                </c:pt>
                <c:pt idx="1">
                  <c:v>1.1693431000000001</c:v>
                </c:pt>
                <c:pt idx="2">
                  <c:v>1.2465861</c:v>
                </c:pt>
                <c:pt idx="3">
                  <c:v>1.1754136000000002</c:v>
                </c:pt>
                <c:pt idx="4">
                  <c:v>1.1742352</c:v>
                </c:pt>
              </c:numCache>
            </c:numRef>
          </c:val>
        </c:ser>
        <c:ser>
          <c:idx val="1"/>
          <c:order val="1"/>
          <c:tx>
            <c:v>Erdöl und Erdgas</c:v>
          </c:tx>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'[51000-0005.xlsx]Temporär'!$D$9;'[51000-0005.xlsx]Temporär'!$D$15;'[51000-0005.xlsx]Temporär'!$D$21;'[51000-0005.xlsx]Temporär'!$D$27;'[51000-0005.xlsx]Temporär'!$D$33</c:f>
              <c:numCache>
                <c:formatCode>General</c:formatCode>
                <c:ptCount val="5"/>
                <c:pt idx="0">
                  <c:v>14.9437599</c:v>
                </c:pt>
                <c:pt idx="1">
                  <c:v>15.3164301</c:v>
                </c:pt>
                <c:pt idx="2">
                  <c:v>16.843158800000001</c:v>
                </c:pt>
                <c:pt idx="3">
                  <c:v>28.4599221</c:v>
                </c:pt>
                <c:pt idx="4">
                  <c:v>22.2839238</c:v>
                </c:pt>
              </c:numCache>
            </c:numRef>
          </c:val>
        </c:ser>
        <c:ser>
          <c:idx val="2"/>
          <c:order val="2"/>
          <c:tx>
            <c:v>Erze</c:v>
          </c:tx>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'[51000-0005.xlsx]Temporär'!$D$10;'[51000-0005.xlsx]Temporär'!$D$16;'[51000-0005.xlsx]Temporär'!$D$22;'[51000-0005.xlsx]Temporär'!$D$28;'[51000-0005.xlsx]Temporär'!$D$34</c:f>
              <c:numCache>
                <c:formatCode>General</c:formatCode>
                <c:ptCount val="5"/>
                <c:pt idx="0">
                  <c:v>0.32255850000000003</c:v>
                </c:pt>
                <c:pt idx="1">
                  <c:v>0.32008799999999998</c:v>
                </c:pt>
                <c:pt idx="2">
                  <c:v>0.36561929999999998</c:v>
                </c:pt>
                <c:pt idx="3">
                  <c:v>0.29175250000000003</c:v>
                </c:pt>
                <c:pt idx="4">
                  <c:v>0.22046679999999999</c:v>
                </c:pt>
              </c:numCache>
            </c:numRef>
          </c:val>
        </c:ser>
        <c:ser>
          <c:idx val="3"/>
          <c:order val="3"/>
          <c:tx>
            <c:v>Steine und Erden</c:v>
          </c:tx>
          <c:invertIfNegative val="0"/>
          <c:cat>
            <c:strRef>
              <c:f>'[51000-0005.xlsx]Temporär'!$A$7;'[51000-0005.xlsx]Temporär'!$A$13;'[51000-0005.xlsx]Temporär'!$A$19;'[51000-0005.xlsx]Temporär'!$A$25;'[51000-0005.xlsx]Temporär'!$A$31</c:f>
              <c:strCache>
                <c:ptCount val="5"/>
                <c:pt idx="0">
                  <c:v>2012</c:v>
                </c:pt>
                <c:pt idx="1">
                  <c:v>2013</c:v>
                </c:pt>
                <c:pt idx="2">
                  <c:v>2014</c:v>
                </c:pt>
                <c:pt idx="3">
                  <c:v>2015</c:v>
                </c:pt>
                <c:pt idx="4">
                  <c:v>2016</c:v>
                </c:pt>
              </c:strCache>
            </c:strRef>
          </c:cat>
          <c:val>
            <c:numRef>
              <c:f>'[51000-0005.xlsx]Temporär'!$D$11;'[51000-0005.xlsx]Temporär'!$D$17;'[51000-0005.xlsx]Temporär'!$D$23;'[51000-0005.xlsx]Temporär'!$D$29;'[51000-0005.xlsx]Temporär'!$D$35</c:f>
              <c:numCache>
                <c:formatCode>General</c:formatCode>
                <c:ptCount val="5"/>
                <c:pt idx="0">
                  <c:v>39.2676205</c:v>
                </c:pt>
                <c:pt idx="1">
                  <c:v>36.415165600000002</c:v>
                </c:pt>
                <c:pt idx="2">
                  <c:v>37.556024299999997</c:v>
                </c:pt>
                <c:pt idx="3">
                  <c:v>35.847745100000004</c:v>
                </c:pt>
                <c:pt idx="4">
                  <c:v>35.8823103</c:v>
                </c:pt>
              </c:numCache>
            </c:numRef>
          </c:val>
        </c:ser>
        <c:dLbls>
          <c:showLegendKey val="0"/>
          <c:showVal val="0"/>
          <c:showCatName val="0"/>
          <c:showSerName val="0"/>
          <c:showPercent val="0"/>
          <c:showBubbleSize val="0"/>
        </c:dLbls>
        <c:gapWidth val="150"/>
        <c:overlap val="100"/>
        <c:axId val="131599360"/>
        <c:axId val="131601152"/>
      </c:barChart>
      <c:catAx>
        <c:axId val="131599360"/>
        <c:scaling>
          <c:orientation val="minMax"/>
        </c:scaling>
        <c:delete val="0"/>
        <c:axPos val="b"/>
        <c:majorTickMark val="out"/>
        <c:minorTickMark val="none"/>
        <c:tickLblPos val="nextTo"/>
        <c:crossAx val="131601152"/>
        <c:crosses val="autoZero"/>
        <c:auto val="1"/>
        <c:lblAlgn val="ctr"/>
        <c:lblOffset val="100"/>
        <c:noMultiLvlLbl val="0"/>
      </c:catAx>
      <c:valAx>
        <c:axId val="131601152"/>
        <c:scaling>
          <c:orientation val="minMax"/>
        </c:scaling>
        <c:delete val="0"/>
        <c:axPos val="l"/>
        <c:majorGridlines/>
        <c:title>
          <c:tx>
            <c:rich>
              <a:bodyPr rot="-5400000" vert="horz"/>
              <a:lstStyle/>
              <a:p>
                <a:pPr>
                  <a:defRPr/>
                </a:pPr>
                <a:r>
                  <a:rPr lang="de-DE"/>
                  <a:t>Ausfuhren in Millionen Tonnen</a:t>
                </a:r>
              </a:p>
            </c:rich>
          </c:tx>
          <c:layout/>
          <c:overlay val="0"/>
        </c:title>
        <c:numFmt formatCode="General" sourceLinked="1"/>
        <c:majorTickMark val="out"/>
        <c:minorTickMark val="none"/>
        <c:tickLblPos val="nextTo"/>
        <c:crossAx val="131599360"/>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DE"/>
              <a:t>Beschäftigte 2015</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Tabelle1!$B$2:$D$2</c:f>
              <c:strCache>
                <c:ptCount val="3"/>
                <c:pt idx="0">
                  <c:v>unter Tage</c:v>
                </c:pt>
                <c:pt idx="1">
                  <c:v>in Tagebauen</c:v>
                </c:pt>
                <c:pt idx="2">
                  <c:v>über Tage</c:v>
                </c:pt>
              </c:strCache>
            </c:strRef>
          </c:cat>
          <c:val>
            <c:numRef>
              <c:f>Tabelle1!$B$12:$D$12</c:f>
              <c:numCache>
                <c:formatCode>General</c:formatCode>
                <c:ptCount val="3"/>
                <c:pt idx="0">
                  <c:v>10337</c:v>
                </c:pt>
                <c:pt idx="1">
                  <c:v>13090</c:v>
                </c:pt>
                <c:pt idx="2">
                  <c:v>33715</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0.12313</cdr:x>
      <cdr:y>0.03071</cdr:y>
    </cdr:from>
    <cdr:to>
      <cdr:x>0.76711</cdr:x>
      <cdr:y>0.20676</cdr:y>
    </cdr:to>
    <cdr:sp macro="" textlink="">
      <cdr:nvSpPr>
        <cdr:cNvPr id="2" name="Textfeld 1"/>
        <cdr:cNvSpPr txBox="1"/>
      </cdr:nvSpPr>
      <cdr:spPr>
        <a:xfrm xmlns:a="http://schemas.openxmlformats.org/drawingml/2006/main">
          <a:off x="708386" y="107950"/>
          <a:ext cx="3704864" cy="618752"/>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0.11423</cdr:x>
      <cdr:y>0.02198</cdr:y>
    </cdr:from>
    <cdr:to>
      <cdr:x>0.75778</cdr:x>
      <cdr:y>0.25999</cdr:y>
    </cdr:to>
    <cdr:sp macro="" textlink="">
      <cdr:nvSpPr>
        <cdr:cNvPr id="4" name="Textfeld 3"/>
        <cdr:cNvSpPr txBox="1"/>
      </cdr:nvSpPr>
      <cdr:spPr>
        <a:xfrm xmlns:a="http://schemas.openxmlformats.org/drawingml/2006/main">
          <a:off x="657586" y="57150"/>
          <a:ext cx="3704864" cy="6187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de-DE" sz="1100" b="0">
              <a:latin typeface="+mn-lt"/>
            </a:rPr>
            <a:t>55,9</a:t>
          </a:r>
          <a:r>
            <a:rPr lang="de-DE" sz="1100" b="0" baseline="0">
              <a:latin typeface="+mn-lt"/>
            </a:rPr>
            <a:t>                  53,2                 56,0                65,8	            65,6 </a:t>
          </a:r>
          <a:endParaRPr lang="de-DE" sz="1100" b="0">
            <a:latin typeface="+mn-lt"/>
          </a:endParaRPr>
        </a:p>
      </cdr:txBody>
    </cdr:sp>
  </cdr:relSizeAnchor>
</c:userShape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71FA-552E-4511-BAB6-69A4A7A8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5722</Characters>
  <Application>Microsoft Office Word</Application>
  <DocSecurity>0</DocSecurity>
  <Lines>211</Lines>
  <Paragraphs>110</Paragraphs>
  <ScaleCrop>false</ScaleCrop>
  <HeadingPairs>
    <vt:vector size="2" baseType="variant">
      <vt:variant>
        <vt:lpstr>Titel</vt:lpstr>
      </vt:variant>
      <vt:variant>
        <vt:i4>1</vt:i4>
      </vt:variant>
    </vt:vector>
  </HeadingPairs>
  <TitlesOfParts>
    <vt:vector size="1" baseType="lpstr">
      <vt:lpstr/>
    </vt:vector>
  </TitlesOfParts>
  <Company>Druckreif GmbH &amp; Co. KG</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Killiches</dc:creator>
  <cp:lastModifiedBy>Franziska Killiches</cp:lastModifiedBy>
  <cp:revision>5</cp:revision>
  <cp:lastPrinted>2016-03-01T09:26:00Z</cp:lastPrinted>
  <dcterms:created xsi:type="dcterms:W3CDTF">2017-05-26T15:01:00Z</dcterms:created>
  <dcterms:modified xsi:type="dcterms:W3CDTF">2017-05-29T15:02:00Z</dcterms:modified>
</cp:coreProperties>
</file>