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8737" w14:textId="2C6C2013" w:rsidR="005C1E76" w:rsidRPr="0009405B" w:rsidRDefault="00B170A5" w:rsidP="0009405B">
      <w:pPr>
        <w:pStyle w:val="Listenabsatz1"/>
        <w:spacing w:after="120" w:line="276" w:lineRule="auto"/>
        <w:ind w:left="0"/>
        <w:rPr>
          <w:rFonts w:cs="Arial"/>
          <w:b/>
          <w:sz w:val="22"/>
          <w:szCs w:val="22"/>
        </w:rPr>
      </w:pPr>
      <w:r w:rsidRPr="00964D68">
        <w:rPr>
          <w:rFonts w:cs="Arial"/>
          <w:b/>
          <w:sz w:val="22"/>
          <w:szCs w:val="22"/>
        </w:rPr>
        <w:t xml:space="preserve">Aktueller Stand Nachtragsbericht (Datum </w:t>
      </w:r>
      <w:r w:rsidR="0009405B">
        <w:rPr>
          <w:rFonts w:cs="Arial"/>
          <w:b/>
          <w:sz w:val="22"/>
          <w:szCs w:val="22"/>
        </w:rPr>
        <w:t>22</w:t>
      </w:r>
      <w:r w:rsidR="007A535C">
        <w:rPr>
          <w:rFonts w:cs="Arial"/>
          <w:b/>
          <w:sz w:val="22"/>
          <w:szCs w:val="22"/>
        </w:rPr>
        <w:t>.01</w:t>
      </w:r>
      <w:r w:rsidRPr="00964D68">
        <w:rPr>
          <w:rFonts w:cs="Arial"/>
          <w:b/>
          <w:sz w:val="22"/>
          <w:szCs w:val="22"/>
        </w:rPr>
        <w:t>.2017)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7"/>
        <w:gridCol w:w="6249"/>
      </w:tblGrid>
      <w:tr w:rsidR="006300A0" w14:paraId="2AD4F774" w14:textId="77777777" w:rsidTr="006300A0">
        <w:tc>
          <w:tcPr>
            <w:tcW w:w="2082" w:type="dxa"/>
          </w:tcPr>
          <w:p w14:paraId="29C0067D" w14:textId="77F1D7F2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Kapitel</w:t>
            </w:r>
          </w:p>
        </w:tc>
        <w:tc>
          <w:tcPr>
            <w:tcW w:w="6480" w:type="dxa"/>
          </w:tcPr>
          <w:p w14:paraId="46C5BC48" w14:textId="79623093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Aktualisierung</w:t>
            </w:r>
          </w:p>
        </w:tc>
      </w:tr>
      <w:tr w:rsidR="006300A0" w14:paraId="0A4E84B4" w14:textId="77777777" w:rsidTr="006300A0">
        <w:tc>
          <w:tcPr>
            <w:tcW w:w="2082" w:type="dxa"/>
          </w:tcPr>
          <w:p w14:paraId="4725DE7A" w14:textId="76A9DCC8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831D01">
              <w:rPr>
                <w:rFonts w:cs="Arial"/>
                <w:b/>
                <w:bCs/>
                <w:sz w:val="22"/>
                <w:szCs w:val="22"/>
                <w:highlight w:val="yellow"/>
              </w:rPr>
              <w:t>Kapitel 2b</w:t>
            </w:r>
            <w:r w:rsidRPr="00964D68">
              <w:rPr>
                <w:rFonts w:cs="Arial"/>
                <w:sz w:val="22"/>
                <w:szCs w:val="22"/>
              </w:rPr>
              <w:t xml:space="preserve"> Rohstoffförderung.</w:t>
            </w:r>
          </w:p>
        </w:tc>
        <w:tc>
          <w:tcPr>
            <w:tcW w:w="6480" w:type="dxa"/>
          </w:tcPr>
          <w:p w14:paraId="12D4D726" w14:textId="6FDBA3C7" w:rsidR="006300A0" w:rsidRDefault="006300A0" w:rsidP="002A44C8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6300A0">
              <w:rPr>
                <w:rFonts w:ascii="Arial" w:hAnsi="Arial" w:cs="Arial"/>
                <w:sz w:val="22"/>
                <w:szCs w:val="22"/>
              </w:rPr>
              <w:t xml:space="preserve">Förderzahlen müssen 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>für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2016 aktualisiert werden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 xml:space="preserve">Das Kapitel aktualisiert </w:t>
            </w:r>
            <w:proofErr w:type="spellStart"/>
            <w:r w:rsidR="00F65A01">
              <w:rPr>
                <w:rFonts w:ascii="Arial" w:hAnsi="Arial" w:cs="Arial"/>
                <w:color w:val="000000"/>
                <w:sz w:val="22"/>
                <w:szCs w:val="22"/>
              </w:rPr>
              <w:t>BMWi</w:t>
            </w:r>
            <w:proofErr w:type="spellEnd"/>
            <w:r w:rsidR="00F65A0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>Referat IVB5</w:t>
            </w:r>
            <w:r w:rsidR="00F65A0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Abstimmung mit BGR und Unternehmensvertretern</w:t>
            </w:r>
            <w:r w:rsidR="00F65A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5A01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 xml:space="preserve">it </w:t>
            </w:r>
            <w:r w:rsidR="002A44C8">
              <w:rPr>
                <w:rFonts w:ascii="Arial" w:hAnsi="Arial" w:cs="Arial"/>
                <w:color w:val="000000"/>
                <w:sz w:val="22"/>
                <w:szCs w:val="22"/>
              </w:rPr>
              <w:t>der</w:t>
            </w: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 xml:space="preserve"> Fertigstellung ist Ende Januar zu rechnen.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00A0" w14:paraId="3BDC78F9" w14:textId="77777777" w:rsidTr="006300A0">
        <w:tc>
          <w:tcPr>
            <w:tcW w:w="2082" w:type="dxa"/>
          </w:tcPr>
          <w:p w14:paraId="3FA320B6" w14:textId="47C306D2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831D01">
              <w:rPr>
                <w:rFonts w:cs="Arial"/>
                <w:b/>
                <w:bCs/>
                <w:sz w:val="22"/>
                <w:szCs w:val="22"/>
                <w:highlight w:val="green"/>
              </w:rPr>
              <w:t>Kapitel 5a</w:t>
            </w:r>
            <w:r w:rsidRPr="00964D68">
              <w:rPr>
                <w:rFonts w:cs="Arial"/>
                <w:sz w:val="22"/>
                <w:szCs w:val="22"/>
              </w:rPr>
              <w:t xml:space="preserve"> </w:t>
            </w:r>
          </w:p>
          <w:p w14:paraId="0145B434" w14:textId="09F964F7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964D68">
              <w:rPr>
                <w:rFonts w:cs="Arial"/>
                <w:sz w:val="22"/>
                <w:szCs w:val="22"/>
              </w:rPr>
              <w:t>Beitrag zum BIP</w:t>
            </w:r>
          </w:p>
        </w:tc>
        <w:tc>
          <w:tcPr>
            <w:tcW w:w="6480" w:type="dxa"/>
          </w:tcPr>
          <w:p w14:paraId="6A1ED4F4" w14:textId="0FE89970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964D68">
              <w:rPr>
                <w:rFonts w:cs="Arial"/>
                <w:sz w:val="22"/>
                <w:szCs w:val="22"/>
              </w:rPr>
              <w:t>Zahlen müssen auf 2016 aktualisiert werden. Das Kapitel wurde vom D-EITI Sekretariat in Abstimmung mit Destatis aktualisiert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300A0" w14:paraId="40FDA1A9" w14:textId="77777777" w:rsidTr="006300A0">
        <w:tc>
          <w:tcPr>
            <w:tcW w:w="2082" w:type="dxa"/>
          </w:tcPr>
          <w:p w14:paraId="7FEED5D8" w14:textId="77777777" w:rsidR="006300A0" w:rsidRPr="002A44C8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b/>
                <w:bCs/>
                <w:sz w:val="22"/>
                <w:szCs w:val="22"/>
                <w:highlight w:val="green"/>
              </w:rPr>
            </w:pPr>
            <w:r w:rsidRPr="002A44C8">
              <w:rPr>
                <w:rFonts w:cs="Arial"/>
                <w:b/>
                <w:bCs/>
                <w:sz w:val="22"/>
                <w:szCs w:val="22"/>
                <w:highlight w:val="green"/>
              </w:rPr>
              <w:t>Kapitel 5b</w:t>
            </w:r>
          </w:p>
          <w:p w14:paraId="1419AFB8" w14:textId="4ED0F484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964D68">
              <w:rPr>
                <w:rFonts w:cs="Arial"/>
                <w:sz w:val="22"/>
                <w:szCs w:val="22"/>
              </w:rPr>
              <w:t>Beitrag zu den Staatseinnahmen</w:t>
            </w:r>
          </w:p>
        </w:tc>
        <w:tc>
          <w:tcPr>
            <w:tcW w:w="6480" w:type="dxa"/>
          </w:tcPr>
          <w:p w14:paraId="21AFE6A6" w14:textId="3DF63675" w:rsidR="006300A0" w:rsidRDefault="006300A0" w:rsidP="006300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0A0">
              <w:rPr>
                <w:rFonts w:ascii="Arial" w:hAnsi="Arial" w:cs="Arial"/>
                <w:sz w:val="22"/>
                <w:szCs w:val="22"/>
              </w:rPr>
              <w:t xml:space="preserve">Kapitel </w:t>
            </w:r>
            <w:r w:rsidR="002A44C8">
              <w:rPr>
                <w:rFonts w:ascii="Arial" w:hAnsi="Arial" w:cs="Arial"/>
                <w:sz w:val="22"/>
                <w:szCs w:val="22"/>
              </w:rPr>
              <w:t>wurde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von BMF aktualisiert. UV </w:t>
            </w:r>
            <w:r w:rsidR="002A44C8">
              <w:rPr>
                <w:rFonts w:ascii="Arial" w:hAnsi="Arial" w:cs="Arial"/>
                <w:sz w:val="22"/>
                <w:szCs w:val="22"/>
              </w:rPr>
              <w:t>hat in Abstimmung mit BMF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ergänzenden Absatz </w:t>
            </w:r>
            <w:r>
              <w:rPr>
                <w:rFonts w:ascii="Arial" w:hAnsi="Arial" w:cs="Arial"/>
                <w:sz w:val="22"/>
                <w:szCs w:val="22"/>
              </w:rPr>
              <w:t>zur Abdeckung</w:t>
            </w:r>
            <w:r w:rsidR="002A44C8">
              <w:rPr>
                <w:rFonts w:ascii="Arial" w:hAnsi="Arial" w:cs="Arial"/>
                <w:sz w:val="22"/>
                <w:szCs w:val="22"/>
              </w:rPr>
              <w:t xml:space="preserve"> verfasst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wieso Darstellung der Abdeckung in Deutschland über die Förderabgabe </w:t>
            </w:r>
            <w:r>
              <w:rPr>
                <w:rFonts w:ascii="Arial" w:hAnsi="Arial" w:cs="Arial"/>
                <w:sz w:val="22"/>
                <w:szCs w:val="22"/>
              </w:rPr>
              <w:t>(ergänzt durch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Fördermenge) und nicht über die Einnahmen aussagekräftiger ist.</w:t>
            </w:r>
          </w:p>
          <w:p w14:paraId="0B566B79" w14:textId="6728044F" w:rsidR="006300A0" w:rsidRDefault="006300A0" w:rsidP="006300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76CF5B" w14:textId="47119E84" w:rsidR="006300A0" w:rsidRPr="006300A0" w:rsidRDefault="006300A0" w:rsidP="006300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00A0">
              <w:rPr>
                <w:rFonts w:ascii="Arial" w:hAnsi="Arial" w:cs="Arial"/>
                <w:sz w:val="22"/>
                <w:szCs w:val="22"/>
              </w:rPr>
              <w:t xml:space="preserve">Die Zahlen zu den </w:t>
            </w:r>
            <w:proofErr w:type="spellStart"/>
            <w:r w:rsidRPr="00151FB4">
              <w:rPr>
                <w:rFonts w:ascii="Arial" w:hAnsi="Arial" w:cs="Arial"/>
                <w:sz w:val="22"/>
                <w:szCs w:val="22"/>
              </w:rPr>
              <w:t>Feldesabgaben</w:t>
            </w:r>
            <w:proofErr w:type="spellEnd"/>
            <w:r w:rsidRPr="006300A0">
              <w:rPr>
                <w:rFonts w:ascii="Arial" w:hAnsi="Arial" w:cs="Arial"/>
                <w:sz w:val="22"/>
                <w:szCs w:val="22"/>
              </w:rPr>
              <w:t xml:space="preserve"> wurden zudem bei </w:t>
            </w:r>
            <w:r>
              <w:rPr>
                <w:rFonts w:ascii="Arial" w:hAnsi="Arial" w:cs="Arial"/>
                <w:sz w:val="22"/>
                <w:szCs w:val="22"/>
              </w:rPr>
              <w:t>drei</w:t>
            </w:r>
            <w:r w:rsidRPr="006300A0">
              <w:rPr>
                <w:rFonts w:ascii="Arial" w:hAnsi="Arial" w:cs="Arial"/>
                <w:sz w:val="22"/>
                <w:szCs w:val="22"/>
              </w:rPr>
              <w:t xml:space="preserve"> Bundesländern in Abstimmung mit den zuständigen Bergbehörden aktualisiert. </w:t>
            </w:r>
          </w:p>
        </w:tc>
      </w:tr>
      <w:tr w:rsidR="006300A0" w14:paraId="1C7BD492" w14:textId="77777777" w:rsidTr="006300A0">
        <w:tc>
          <w:tcPr>
            <w:tcW w:w="2082" w:type="dxa"/>
          </w:tcPr>
          <w:p w14:paraId="5D2FB4CC" w14:textId="69B888FD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  <w:r w:rsidRPr="00831D01">
              <w:rPr>
                <w:rFonts w:cs="Arial"/>
                <w:b/>
                <w:bCs/>
                <w:sz w:val="22"/>
                <w:szCs w:val="22"/>
                <w:highlight w:val="green"/>
              </w:rPr>
              <w:t>Kap</w:t>
            </w:r>
            <w:r>
              <w:rPr>
                <w:rFonts w:cs="Arial"/>
                <w:b/>
                <w:bCs/>
                <w:sz w:val="22"/>
                <w:szCs w:val="22"/>
                <w:highlight w:val="green"/>
              </w:rPr>
              <w:t>itel</w:t>
            </w:r>
            <w:r w:rsidRPr="00831D01">
              <w:rPr>
                <w:rFonts w:cs="Arial"/>
                <w:b/>
                <w:bCs/>
                <w:sz w:val="22"/>
                <w:szCs w:val="22"/>
                <w:highlight w:val="green"/>
              </w:rPr>
              <w:t xml:space="preserve"> 7a und b</w:t>
            </w:r>
            <w:r w:rsidRPr="00964D68">
              <w:rPr>
                <w:rFonts w:cs="Arial"/>
                <w:sz w:val="22"/>
                <w:szCs w:val="22"/>
              </w:rPr>
              <w:t xml:space="preserve"> Subventionen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steuerliche Begünstigungen</w:t>
            </w:r>
          </w:p>
        </w:tc>
        <w:tc>
          <w:tcPr>
            <w:tcW w:w="6480" w:type="dxa"/>
          </w:tcPr>
          <w:p w14:paraId="342AC61E" w14:textId="77777777" w:rsidR="006300A0" w:rsidRPr="006300A0" w:rsidRDefault="006300A0" w:rsidP="006300A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300A0">
              <w:rPr>
                <w:rFonts w:ascii="Arial" w:hAnsi="Arial" w:cs="Arial"/>
                <w:color w:val="000000"/>
                <w:sz w:val="22"/>
                <w:szCs w:val="22"/>
              </w:rPr>
              <w:t>Die Zahlen wurden auf Basis des 26. Subventionsberichts der Bundesregierung vom Sekretariat in Abstimmung mit dem BMF aktualisiert.</w:t>
            </w:r>
          </w:p>
          <w:p w14:paraId="0A37DF3D" w14:textId="77777777" w:rsidR="006300A0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6300A0" w14:paraId="73D47913" w14:textId="77777777" w:rsidTr="006300A0">
        <w:tc>
          <w:tcPr>
            <w:tcW w:w="2082" w:type="dxa"/>
          </w:tcPr>
          <w:p w14:paraId="7AB80133" w14:textId="57BB8678" w:rsidR="006300A0" w:rsidRPr="00831D01" w:rsidRDefault="006300A0" w:rsidP="006300A0">
            <w:pPr>
              <w:pStyle w:val="Listenabsatz1"/>
              <w:spacing w:after="120" w:line="276" w:lineRule="auto"/>
              <w:ind w:left="0"/>
              <w:rPr>
                <w:rFonts w:cs="Arial"/>
                <w:b/>
                <w:bCs/>
                <w:sz w:val="22"/>
                <w:szCs w:val="22"/>
                <w:highlight w:val="green"/>
              </w:rPr>
            </w:pPr>
            <w:r w:rsidRPr="007A535C">
              <w:rPr>
                <w:rFonts w:cs="Arial"/>
                <w:b/>
                <w:bCs/>
                <w:sz w:val="22"/>
                <w:szCs w:val="22"/>
                <w:highlight w:val="yellow"/>
              </w:rPr>
              <w:t>Zahlungsabgleich</w:t>
            </w:r>
          </w:p>
        </w:tc>
        <w:tc>
          <w:tcPr>
            <w:tcW w:w="6480" w:type="dxa"/>
          </w:tcPr>
          <w:p w14:paraId="0012FF30" w14:textId="1CCE6745" w:rsidR="006300A0" w:rsidRPr="00E83EC1" w:rsidRDefault="00820659" w:rsidP="00E83EC1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Bis zum 31.01. können Unternehmen noch Zahlungen an D-EITI nachmelden</w:t>
            </w:r>
            <w:r w:rsidR="006300A0" w:rsidRPr="006300A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09405B">
              <w:rPr>
                <w:rFonts w:ascii="Arial" w:hAnsi="Arial" w:cs="Arial"/>
                <w:bCs/>
                <w:sz w:val="22"/>
                <w:szCs w:val="22"/>
              </w:rPr>
              <w:t xml:space="preserve">Der UV sichtet </w:t>
            </w:r>
            <w:proofErr w:type="spellStart"/>
            <w:r w:rsidR="0009405B">
              <w:rPr>
                <w:rFonts w:ascii="Arial" w:hAnsi="Arial" w:cs="Arial"/>
                <w:bCs/>
                <w:sz w:val="22"/>
                <w:szCs w:val="22"/>
              </w:rPr>
              <w:t>BilRUG</w:t>
            </w:r>
            <w:proofErr w:type="spellEnd"/>
            <w:r w:rsidR="0009405B">
              <w:rPr>
                <w:rFonts w:ascii="Arial" w:hAnsi="Arial" w:cs="Arial"/>
                <w:bCs/>
                <w:sz w:val="22"/>
                <w:szCs w:val="22"/>
              </w:rPr>
              <w:t xml:space="preserve"> Zahlungsberichte. </w:t>
            </w:r>
            <w:r w:rsidR="006300A0" w:rsidRPr="006300A0">
              <w:rPr>
                <w:rFonts w:ascii="Arial" w:hAnsi="Arial" w:cs="Arial"/>
                <w:bCs/>
                <w:sz w:val="22"/>
                <w:szCs w:val="22"/>
              </w:rPr>
              <w:t xml:space="preserve">UV </w:t>
            </w:r>
            <w:r w:rsidR="0009405B">
              <w:rPr>
                <w:rFonts w:ascii="Arial" w:hAnsi="Arial" w:cs="Arial"/>
                <w:bCs/>
                <w:sz w:val="22"/>
                <w:szCs w:val="22"/>
              </w:rPr>
              <w:t>wird</w:t>
            </w:r>
            <w:r w:rsidR="006300A0" w:rsidRPr="006300A0">
              <w:rPr>
                <w:rFonts w:ascii="Arial" w:hAnsi="Arial" w:cs="Arial"/>
                <w:bCs/>
                <w:sz w:val="22"/>
                <w:szCs w:val="22"/>
              </w:rPr>
              <w:t xml:space="preserve"> Abgleich durch</w:t>
            </w:r>
            <w:r w:rsidR="0009405B">
              <w:rPr>
                <w:rFonts w:ascii="Arial" w:hAnsi="Arial" w:cs="Arial"/>
                <w:bCs/>
                <w:sz w:val="22"/>
                <w:szCs w:val="22"/>
              </w:rPr>
              <w:t>führen</w:t>
            </w:r>
            <w:r w:rsidR="006300A0" w:rsidRPr="006300A0">
              <w:rPr>
                <w:rFonts w:ascii="Arial" w:hAnsi="Arial" w:cs="Arial"/>
                <w:bCs/>
                <w:sz w:val="22"/>
                <w:szCs w:val="22"/>
              </w:rPr>
              <w:t xml:space="preserve"> und Zahlungsabgleich</w:t>
            </w:r>
            <w:r w:rsidR="0009405B">
              <w:rPr>
                <w:rFonts w:ascii="Arial" w:hAnsi="Arial" w:cs="Arial"/>
                <w:bCs/>
                <w:sz w:val="22"/>
                <w:szCs w:val="22"/>
              </w:rPr>
              <w:t xml:space="preserve"> aktualisieren</w:t>
            </w:r>
            <w:r w:rsidR="006300A0" w:rsidRPr="006300A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940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83EC1" w14:paraId="76D8B90A" w14:textId="77777777" w:rsidTr="006300A0">
        <w:tc>
          <w:tcPr>
            <w:tcW w:w="2082" w:type="dxa"/>
          </w:tcPr>
          <w:p w14:paraId="08F19D74" w14:textId="77777777" w:rsidR="00E83EC1" w:rsidRPr="007A535C" w:rsidRDefault="00E83EC1" w:rsidP="006300A0">
            <w:pPr>
              <w:pStyle w:val="Listenabsatz1"/>
              <w:spacing w:after="120" w:line="276" w:lineRule="auto"/>
              <w:ind w:left="0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480" w:type="dxa"/>
          </w:tcPr>
          <w:p w14:paraId="38322596" w14:textId="77777777" w:rsidR="00E83EC1" w:rsidRDefault="00E83EC1" w:rsidP="00E83EC1">
            <w:p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13BD09" w14:textId="77777777" w:rsidR="005440FE" w:rsidRDefault="005440FE" w:rsidP="00E83E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7E744B" w14:textId="1CB4A467" w:rsidR="00B170A5" w:rsidRPr="006300A0" w:rsidRDefault="00B170A5" w:rsidP="00E83E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9405B">
        <w:rPr>
          <w:rFonts w:ascii="Arial" w:hAnsi="Arial" w:cs="Arial"/>
          <w:b/>
          <w:sz w:val="22"/>
          <w:szCs w:val="22"/>
        </w:rPr>
        <w:t>Vorgehensweise</w:t>
      </w:r>
      <w:r w:rsidR="00E83EC1">
        <w:rPr>
          <w:rFonts w:ascii="Arial" w:hAnsi="Arial" w:cs="Arial"/>
          <w:b/>
          <w:sz w:val="22"/>
          <w:szCs w:val="22"/>
        </w:rPr>
        <w:br/>
      </w:r>
      <w:bookmarkStart w:id="0" w:name="_GoBack"/>
      <w:r w:rsidRPr="005440FE">
        <w:rPr>
          <w:rFonts w:ascii="Arial" w:hAnsi="Arial" w:cs="Arial"/>
          <w:sz w:val="22"/>
          <w:szCs w:val="22"/>
        </w:rPr>
        <w:t>Der Nachtragsbericht wird der MSG in der</w:t>
      </w:r>
      <w:bookmarkEnd w:id="0"/>
      <w:r w:rsidRPr="006300A0">
        <w:rPr>
          <w:rFonts w:ascii="Arial" w:hAnsi="Arial" w:cs="Arial"/>
          <w:b/>
          <w:sz w:val="22"/>
          <w:szCs w:val="22"/>
        </w:rPr>
        <w:t xml:space="preserve"> Vorbereitung</w:t>
      </w:r>
      <w:r w:rsidRPr="006300A0">
        <w:rPr>
          <w:rFonts w:ascii="Arial" w:hAnsi="Arial" w:cs="Arial"/>
          <w:sz w:val="22"/>
          <w:szCs w:val="22"/>
        </w:rPr>
        <w:t xml:space="preserve"> </w:t>
      </w:r>
      <w:r w:rsidRPr="006300A0">
        <w:rPr>
          <w:rFonts w:ascii="Arial" w:hAnsi="Arial" w:cs="Arial"/>
          <w:b/>
          <w:sz w:val="22"/>
          <w:szCs w:val="22"/>
        </w:rPr>
        <w:t>zur 1</w:t>
      </w:r>
      <w:r w:rsidR="00F23725" w:rsidRPr="006300A0">
        <w:rPr>
          <w:rFonts w:ascii="Arial" w:hAnsi="Arial" w:cs="Arial"/>
          <w:b/>
          <w:sz w:val="22"/>
          <w:szCs w:val="22"/>
        </w:rPr>
        <w:t>2</w:t>
      </w:r>
      <w:r w:rsidRPr="006300A0">
        <w:rPr>
          <w:rFonts w:ascii="Arial" w:hAnsi="Arial" w:cs="Arial"/>
          <w:b/>
          <w:sz w:val="22"/>
          <w:szCs w:val="22"/>
        </w:rPr>
        <w:t xml:space="preserve">. MSG-Sitzung </w:t>
      </w:r>
      <w:r w:rsidR="0009405B">
        <w:rPr>
          <w:rFonts w:ascii="Arial" w:hAnsi="Arial" w:cs="Arial"/>
          <w:b/>
          <w:sz w:val="22"/>
          <w:szCs w:val="22"/>
        </w:rPr>
        <w:t>(</w:t>
      </w:r>
      <w:r w:rsidR="002A44C8">
        <w:rPr>
          <w:rFonts w:ascii="Arial" w:hAnsi="Arial" w:cs="Arial"/>
          <w:b/>
          <w:sz w:val="22"/>
          <w:szCs w:val="22"/>
        </w:rPr>
        <w:t>21.03.</w:t>
      </w:r>
      <w:r w:rsidR="00F23725" w:rsidRPr="006300A0">
        <w:rPr>
          <w:rFonts w:ascii="Arial" w:hAnsi="Arial" w:cs="Arial"/>
          <w:b/>
          <w:sz w:val="22"/>
          <w:szCs w:val="22"/>
        </w:rPr>
        <w:t xml:space="preserve"> März</w:t>
      </w:r>
      <w:r w:rsidR="0009405B">
        <w:rPr>
          <w:rFonts w:ascii="Arial" w:hAnsi="Arial" w:cs="Arial"/>
          <w:b/>
          <w:sz w:val="22"/>
          <w:szCs w:val="22"/>
        </w:rPr>
        <w:t>)</w:t>
      </w:r>
      <w:r w:rsidRPr="006300A0">
        <w:rPr>
          <w:rFonts w:ascii="Arial" w:hAnsi="Arial" w:cs="Arial"/>
          <w:b/>
          <w:sz w:val="22"/>
          <w:szCs w:val="22"/>
        </w:rPr>
        <w:t xml:space="preserve"> vorgelegt, und soll in der Sitzung beschlossen werden</w:t>
      </w:r>
      <w:r w:rsidRPr="006300A0">
        <w:rPr>
          <w:rFonts w:ascii="Arial" w:hAnsi="Arial" w:cs="Arial"/>
          <w:sz w:val="22"/>
          <w:szCs w:val="22"/>
        </w:rPr>
        <w:t>.</w:t>
      </w:r>
      <w:r w:rsidR="002E5876" w:rsidRPr="006300A0">
        <w:rPr>
          <w:rFonts w:ascii="Arial" w:hAnsi="Arial" w:cs="Arial"/>
          <w:sz w:val="22"/>
          <w:szCs w:val="22"/>
        </w:rPr>
        <w:t xml:space="preserve"> </w:t>
      </w:r>
      <w:r w:rsidR="00D97868" w:rsidRPr="006300A0">
        <w:rPr>
          <w:rFonts w:ascii="Arial" w:hAnsi="Arial" w:cs="Arial"/>
          <w:sz w:val="22"/>
          <w:szCs w:val="22"/>
        </w:rPr>
        <w:t xml:space="preserve">Der Nachtragsbericht </w:t>
      </w:r>
      <w:r w:rsidR="00831D01" w:rsidRPr="006300A0">
        <w:rPr>
          <w:rFonts w:ascii="Arial" w:hAnsi="Arial" w:cs="Arial"/>
          <w:sz w:val="22"/>
          <w:szCs w:val="22"/>
        </w:rPr>
        <w:t xml:space="preserve">wird </w:t>
      </w:r>
      <w:r w:rsidR="00D97868" w:rsidRPr="006300A0">
        <w:rPr>
          <w:rFonts w:ascii="Arial" w:hAnsi="Arial" w:cs="Arial"/>
          <w:sz w:val="22"/>
          <w:szCs w:val="22"/>
        </w:rPr>
        <w:t>an das Internationale Sekretariat versandt</w:t>
      </w:r>
      <w:r w:rsidR="00831D01" w:rsidRPr="006300A0">
        <w:rPr>
          <w:rFonts w:ascii="Arial" w:hAnsi="Arial" w:cs="Arial"/>
          <w:sz w:val="22"/>
          <w:szCs w:val="22"/>
        </w:rPr>
        <w:t xml:space="preserve"> und als PDF </w:t>
      </w:r>
      <w:r w:rsidR="005C1E76" w:rsidRPr="006300A0">
        <w:rPr>
          <w:rFonts w:ascii="Arial" w:hAnsi="Arial" w:cs="Arial"/>
          <w:sz w:val="22"/>
          <w:szCs w:val="22"/>
        </w:rPr>
        <w:t xml:space="preserve">auf der D-EITI Website </w:t>
      </w:r>
      <w:r w:rsidR="00831D01" w:rsidRPr="006300A0">
        <w:rPr>
          <w:rFonts w:ascii="Arial" w:hAnsi="Arial" w:cs="Arial"/>
          <w:sz w:val="22"/>
          <w:szCs w:val="22"/>
        </w:rPr>
        <w:t>zur Verfügung gestellt</w:t>
      </w:r>
      <w:r w:rsidR="00D97868" w:rsidRPr="006300A0">
        <w:rPr>
          <w:rFonts w:ascii="Arial" w:hAnsi="Arial" w:cs="Arial"/>
          <w:sz w:val="22"/>
          <w:szCs w:val="22"/>
        </w:rPr>
        <w:t xml:space="preserve">. </w:t>
      </w:r>
      <w:r w:rsidR="0009405B">
        <w:rPr>
          <w:rFonts w:ascii="Arial" w:hAnsi="Arial" w:cs="Arial"/>
          <w:sz w:val="22"/>
          <w:szCs w:val="22"/>
        </w:rPr>
        <w:t>Sowohl das</w:t>
      </w:r>
      <w:r w:rsidR="00D97868" w:rsidRPr="006300A0">
        <w:rPr>
          <w:rFonts w:ascii="Arial" w:hAnsi="Arial" w:cs="Arial"/>
          <w:sz w:val="22"/>
          <w:szCs w:val="22"/>
        </w:rPr>
        <w:t xml:space="preserve"> Datenportal </w:t>
      </w:r>
      <w:r w:rsidR="0009405B">
        <w:rPr>
          <w:rFonts w:ascii="Arial" w:hAnsi="Arial" w:cs="Arial"/>
          <w:sz w:val="22"/>
          <w:szCs w:val="22"/>
        </w:rPr>
        <w:t>als auch der Bericht werden</w:t>
      </w:r>
      <w:r w:rsidR="00D97868" w:rsidRPr="006300A0">
        <w:rPr>
          <w:rFonts w:ascii="Arial" w:hAnsi="Arial" w:cs="Arial"/>
          <w:sz w:val="22"/>
          <w:szCs w:val="22"/>
        </w:rPr>
        <w:t xml:space="preserve"> </w:t>
      </w:r>
      <w:r w:rsidR="001212AE">
        <w:rPr>
          <w:rFonts w:ascii="Arial" w:hAnsi="Arial" w:cs="Arial"/>
          <w:sz w:val="22"/>
          <w:szCs w:val="22"/>
        </w:rPr>
        <w:t>von Auftragnehmer</w:t>
      </w:r>
      <w:r w:rsidR="0009405B">
        <w:rPr>
          <w:rFonts w:ascii="Arial" w:hAnsi="Arial" w:cs="Arial"/>
          <w:sz w:val="22"/>
          <w:szCs w:val="22"/>
        </w:rPr>
        <w:t>n</w:t>
      </w:r>
      <w:r w:rsidR="001212AE">
        <w:rPr>
          <w:rFonts w:ascii="Arial" w:hAnsi="Arial" w:cs="Arial"/>
          <w:sz w:val="22"/>
          <w:szCs w:val="22"/>
        </w:rPr>
        <w:t xml:space="preserve"> </w:t>
      </w:r>
      <w:r w:rsidR="0009405B">
        <w:rPr>
          <w:rFonts w:ascii="Arial" w:hAnsi="Arial" w:cs="Arial"/>
          <w:sz w:val="22"/>
          <w:szCs w:val="22"/>
        </w:rPr>
        <w:t xml:space="preserve">(Programmierer/Grafiker) </w:t>
      </w:r>
      <w:r w:rsidR="001212AE">
        <w:rPr>
          <w:rFonts w:ascii="Arial" w:hAnsi="Arial" w:cs="Arial"/>
          <w:sz w:val="22"/>
          <w:szCs w:val="22"/>
        </w:rPr>
        <w:t>entsprechend</w:t>
      </w:r>
      <w:r w:rsidR="0009405B">
        <w:rPr>
          <w:rFonts w:ascii="Arial" w:hAnsi="Arial" w:cs="Arial"/>
          <w:sz w:val="22"/>
          <w:szCs w:val="22"/>
        </w:rPr>
        <w:t xml:space="preserve"> </w:t>
      </w:r>
      <w:r w:rsidR="00D97868" w:rsidRPr="006300A0">
        <w:rPr>
          <w:rFonts w:ascii="Arial" w:hAnsi="Arial" w:cs="Arial"/>
          <w:sz w:val="22"/>
          <w:szCs w:val="22"/>
        </w:rPr>
        <w:t>aktualisiert</w:t>
      </w:r>
      <w:r w:rsidR="0009405B">
        <w:rPr>
          <w:rFonts w:ascii="Arial" w:hAnsi="Arial" w:cs="Arial"/>
          <w:sz w:val="22"/>
          <w:szCs w:val="22"/>
        </w:rPr>
        <w:t>, hierzu wird das Sekretariat Angebote einholen</w:t>
      </w:r>
      <w:r w:rsidR="00D97868" w:rsidRPr="006300A0">
        <w:rPr>
          <w:rFonts w:ascii="Arial" w:hAnsi="Arial" w:cs="Arial"/>
          <w:sz w:val="22"/>
          <w:szCs w:val="22"/>
        </w:rPr>
        <w:t xml:space="preserve">. </w:t>
      </w:r>
    </w:p>
    <w:p w14:paraId="63405250" w14:textId="77777777" w:rsidR="003A73D7" w:rsidRPr="00964D68" w:rsidRDefault="003A73D7" w:rsidP="00964D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A73D7" w:rsidRPr="00964D68" w:rsidSect="000A1B7D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D55E" w14:textId="77777777" w:rsidR="002E5876" w:rsidRDefault="002E5876" w:rsidP="006E3E1F">
      <w:r>
        <w:separator/>
      </w:r>
    </w:p>
  </w:endnote>
  <w:endnote w:type="continuationSeparator" w:id="0">
    <w:p w14:paraId="466C365F" w14:textId="77777777" w:rsidR="002E5876" w:rsidRDefault="002E5876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56316"/>
      <w:docPartObj>
        <w:docPartGallery w:val="Page Numbers (Bottom of Page)"/>
        <w:docPartUnique/>
      </w:docPartObj>
    </w:sdtPr>
    <w:sdtEndPr/>
    <w:sdtContent>
      <w:p w14:paraId="04D6571C" w14:textId="52DAED97" w:rsidR="002E5876" w:rsidRDefault="002E58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FE">
          <w:rPr>
            <w:noProof/>
          </w:rPr>
          <w:t>1</w:t>
        </w:r>
        <w:r>
          <w:fldChar w:fldCharType="end"/>
        </w:r>
      </w:p>
    </w:sdtContent>
  </w:sdt>
  <w:p w14:paraId="2DD86DD8" w14:textId="77777777" w:rsidR="002E5876" w:rsidRDefault="002E5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A493" w14:textId="77777777" w:rsidR="002E5876" w:rsidRDefault="002E5876" w:rsidP="006E3E1F">
      <w:r>
        <w:separator/>
      </w:r>
    </w:p>
  </w:footnote>
  <w:footnote w:type="continuationSeparator" w:id="0">
    <w:p w14:paraId="2E22B1E4" w14:textId="77777777" w:rsidR="002E5876" w:rsidRDefault="002E5876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D9CB" w14:textId="77777777" w:rsidR="002E5876" w:rsidRDefault="002E5876">
    <w:pPr>
      <w:pStyle w:val="Kopfzeile"/>
    </w:pPr>
    <w:r>
      <w:rPr>
        <w:noProof/>
      </w:rPr>
      <w:drawing>
        <wp:inline distT="0" distB="0" distL="0" distR="0" wp14:anchorId="74E8CBF2" wp14:editId="21E4F69B">
          <wp:extent cx="1769110" cy="308610"/>
          <wp:effectExtent l="0" t="0" r="2540" b="0"/>
          <wp:docPr id="4" name="Grafik 4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97F5" w14:textId="77777777" w:rsidR="002E5876" w:rsidRDefault="002E5876" w:rsidP="00A02ECE">
    <w:pPr>
      <w:pStyle w:val="Kopfzeile"/>
      <w:jc w:val="right"/>
    </w:pPr>
    <w:r>
      <w:rPr>
        <w:noProof/>
      </w:rPr>
      <w:drawing>
        <wp:inline distT="0" distB="0" distL="0" distR="0" wp14:anchorId="67D55D2A" wp14:editId="7F6411AF">
          <wp:extent cx="1769110" cy="308610"/>
          <wp:effectExtent l="0" t="0" r="2540" b="0"/>
          <wp:docPr id="3" name="Grafik 3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87A27" w14:textId="77777777" w:rsidR="002E5876" w:rsidRDefault="002E5876">
    <w:pPr>
      <w:pStyle w:val="Kopfzeile"/>
    </w:pPr>
  </w:p>
  <w:p w14:paraId="69A31670" w14:textId="77777777" w:rsidR="002E5876" w:rsidRDefault="002E5876">
    <w:pPr>
      <w:pStyle w:val="Kopfzeile"/>
    </w:pPr>
  </w:p>
  <w:p w14:paraId="30A0B296" w14:textId="77777777" w:rsidR="002E5876" w:rsidRDefault="002E5876">
    <w:pPr>
      <w:pStyle w:val="Kopfzeile"/>
    </w:pPr>
  </w:p>
  <w:p w14:paraId="1FEFED8D" w14:textId="77777777" w:rsidR="002E5876" w:rsidRDefault="002E58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D6B88"/>
    <w:multiLevelType w:val="hybridMultilevel"/>
    <w:tmpl w:val="181C3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8672C"/>
    <w:multiLevelType w:val="hybridMultilevel"/>
    <w:tmpl w:val="E1004148"/>
    <w:lvl w:ilvl="0" w:tplc="A6EAD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28D3"/>
    <w:multiLevelType w:val="hybridMultilevel"/>
    <w:tmpl w:val="921E0C34"/>
    <w:lvl w:ilvl="0" w:tplc="09648F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89A"/>
    <w:multiLevelType w:val="hybridMultilevel"/>
    <w:tmpl w:val="26525DFE"/>
    <w:lvl w:ilvl="0" w:tplc="3C8AD86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D3191"/>
    <w:multiLevelType w:val="hybridMultilevel"/>
    <w:tmpl w:val="966C4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D56304"/>
    <w:multiLevelType w:val="hybridMultilevel"/>
    <w:tmpl w:val="26362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162B"/>
    <w:multiLevelType w:val="hybridMultilevel"/>
    <w:tmpl w:val="4AA4C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D205C8"/>
    <w:multiLevelType w:val="hybridMultilevel"/>
    <w:tmpl w:val="CD863A92"/>
    <w:lvl w:ilvl="0" w:tplc="FF32B866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C6DD5"/>
    <w:multiLevelType w:val="hybridMultilevel"/>
    <w:tmpl w:val="C97E73AA"/>
    <w:lvl w:ilvl="0" w:tplc="B3380BAA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F6CD3"/>
    <w:multiLevelType w:val="hybridMultilevel"/>
    <w:tmpl w:val="66C8A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6968"/>
    <w:multiLevelType w:val="hybridMultilevel"/>
    <w:tmpl w:val="EE549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E4346"/>
    <w:multiLevelType w:val="hybridMultilevel"/>
    <w:tmpl w:val="322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5"/>
    <w:rsid w:val="00032244"/>
    <w:rsid w:val="00040AFE"/>
    <w:rsid w:val="00040BA9"/>
    <w:rsid w:val="00041BA8"/>
    <w:rsid w:val="00042698"/>
    <w:rsid w:val="0004644F"/>
    <w:rsid w:val="00047584"/>
    <w:rsid w:val="00052B20"/>
    <w:rsid w:val="00053290"/>
    <w:rsid w:val="00071EA3"/>
    <w:rsid w:val="00090DC1"/>
    <w:rsid w:val="0009405B"/>
    <w:rsid w:val="00094C5A"/>
    <w:rsid w:val="000A1B7D"/>
    <w:rsid w:val="000B3D6D"/>
    <w:rsid w:val="000D2DD5"/>
    <w:rsid w:val="000F5849"/>
    <w:rsid w:val="001212AE"/>
    <w:rsid w:val="0012296F"/>
    <w:rsid w:val="0014324C"/>
    <w:rsid w:val="00146E32"/>
    <w:rsid w:val="00151FB4"/>
    <w:rsid w:val="0015250E"/>
    <w:rsid w:val="00152EC6"/>
    <w:rsid w:val="0015439E"/>
    <w:rsid w:val="00171068"/>
    <w:rsid w:val="0019449A"/>
    <w:rsid w:val="00196930"/>
    <w:rsid w:val="0019710C"/>
    <w:rsid w:val="001C45FD"/>
    <w:rsid w:val="001C48D2"/>
    <w:rsid w:val="001E120D"/>
    <w:rsid w:val="00204DA5"/>
    <w:rsid w:val="0021104E"/>
    <w:rsid w:val="00217720"/>
    <w:rsid w:val="0024711B"/>
    <w:rsid w:val="00251CA9"/>
    <w:rsid w:val="002A010A"/>
    <w:rsid w:val="002A44C8"/>
    <w:rsid w:val="002B3DE5"/>
    <w:rsid w:val="002B4663"/>
    <w:rsid w:val="002C3E3D"/>
    <w:rsid w:val="002C549E"/>
    <w:rsid w:val="002E5876"/>
    <w:rsid w:val="003206AA"/>
    <w:rsid w:val="00323FE1"/>
    <w:rsid w:val="0034398A"/>
    <w:rsid w:val="00345034"/>
    <w:rsid w:val="0034794B"/>
    <w:rsid w:val="00365C73"/>
    <w:rsid w:val="003672BE"/>
    <w:rsid w:val="003701F5"/>
    <w:rsid w:val="00387626"/>
    <w:rsid w:val="00392388"/>
    <w:rsid w:val="003972D4"/>
    <w:rsid w:val="003A3174"/>
    <w:rsid w:val="003A73D7"/>
    <w:rsid w:val="003D303D"/>
    <w:rsid w:val="003F6A43"/>
    <w:rsid w:val="00406AD3"/>
    <w:rsid w:val="00407BD7"/>
    <w:rsid w:val="0042144C"/>
    <w:rsid w:val="00434EA1"/>
    <w:rsid w:val="00443F8D"/>
    <w:rsid w:val="00462E49"/>
    <w:rsid w:val="004A4EC9"/>
    <w:rsid w:val="004B0D83"/>
    <w:rsid w:val="004D4346"/>
    <w:rsid w:val="0052405F"/>
    <w:rsid w:val="00540528"/>
    <w:rsid w:val="005420FC"/>
    <w:rsid w:val="005440FE"/>
    <w:rsid w:val="00555F69"/>
    <w:rsid w:val="00557159"/>
    <w:rsid w:val="005A72E1"/>
    <w:rsid w:val="005B14CF"/>
    <w:rsid w:val="005C1E76"/>
    <w:rsid w:val="005D4065"/>
    <w:rsid w:val="005F17F6"/>
    <w:rsid w:val="005F3119"/>
    <w:rsid w:val="0062311D"/>
    <w:rsid w:val="006300A0"/>
    <w:rsid w:val="00634215"/>
    <w:rsid w:val="00646CDE"/>
    <w:rsid w:val="00675A34"/>
    <w:rsid w:val="006C5A1D"/>
    <w:rsid w:val="006E3E1F"/>
    <w:rsid w:val="0073564C"/>
    <w:rsid w:val="00750A59"/>
    <w:rsid w:val="00757F7A"/>
    <w:rsid w:val="00775EE3"/>
    <w:rsid w:val="0078275C"/>
    <w:rsid w:val="00783121"/>
    <w:rsid w:val="0078674E"/>
    <w:rsid w:val="007A2F90"/>
    <w:rsid w:val="007A535C"/>
    <w:rsid w:val="007B618A"/>
    <w:rsid w:val="007C5CB7"/>
    <w:rsid w:val="007E00A0"/>
    <w:rsid w:val="007E24FF"/>
    <w:rsid w:val="00820659"/>
    <w:rsid w:val="00826CB6"/>
    <w:rsid w:val="00831AED"/>
    <w:rsid w:val="00831D01"/>
    <w:rsid w:val="0085004C"/>
    <w:rsid w:val="008629AB"/>
    <w:rsid w:val="00875E11"/>
    <w:rsid w:val="008779E9"/>
    <w:rsid w:val="008839AA"/>
    <w:rsid w:val="00886D31"/>
    <w:rsid w:val="008A1723"/>
    <w:rsid w:val="008D0DF9"/>
    <w:rsid w:val="008D574B"/>
    <w:rsid w:val="008E78B6"/>
    <w:rsid w:val="008F78DE"/>
    <w:rsid w:val="009031D0"/>
    <w:rsid w:val="009609E5"/>
    <w:rsid w:val="00964D68"/>
    <w:rsid w:val="00982451"/>
    <w:rsid w:val="009906E8"/>
    <w:rsid w:val="0099768A"/>
    <w:rsid w:val="009A7A94"/>
    <w:rsid w:val="009B6610"/>
    <w:rsid w:val="009C1261"/>
    <w:rsid w:val="009C511C"/>
    <w:rsid w:val="009D510F"/>
    <w:rsid w:val="009F1A20"/>
    <w:rsid w:val="00A01868"/>
    <w:rsid w:val="00A02ECE"/>
    <w:rsid w:val="00A129A4"/>
    <w:rsid w:val="00A14463"/>
    <w:rsid w:val="00A151DB"/>
    <w:rsid w:val="00A369C3"/>
    <w:rsid w:val="00A52424"/>
    <w:rsid w:val="00A55FB1"/>
    <w:rsid w:val="00A571F4"/>
    <w:rsid w:val="00A739C1"/>
    <w:rsid w:val="00A8349B"/>
    <w:rsid w:val="00A9576B"/>
    <w:rsid w:val="00AA3CF9"/>
    <w:rsid w:val="00AB0209"/>
    <w:rsid w:val="00AC0BC1"/>
    <w:rsid w:val="00AD3802"/>
    <w:rsid w:val="00AE5A26"/>
    <w:rsid w:val="00AF1270"/>
    <w:rsid w:val="00B170A5"/>
    <w:rsid w:val="00B5024B"/>
    <w:rsid w:val="00B50F0B"/>
    <w:rsid w:val="00B80393"/>
    <w:rsid w:val="00B9513D"/>
    <w:rsid w:val="00BA56CD"/>
    <w:rsid w:val="00BA7EF2"/>
    <w:rsid w:val="00BB6B3A"/>
    <w:rsid w:val="00BB7167"/>
    <w:rsid w:val="00BD14FA"/>
    <w:rsid w:val="00BE44B7"/>
    <w:rsid w:val="00C3021B"/>
    <w:rsid w:val="00C365D1"/>
    <w:rsid w:val="00C374B3"/>
    <w:rsid w:val="00C709A6"/>
    <w:rsid w:val="00C748D6"/>
    <w:rsid w:val="00C824ED"/>
    <w:rsid w:val="00C849FC"/>
    <w:rsid w:val="00C90074"/>
    <w:rsid w:val="00CB793F"/>
    <w:rsid w:val="00CB7E77"/>
    <w:rsid w:val="00CC173C"/>
    <w:rsid w:val="00CC2FC7"/>
    <w:rsid w:val="00CD1F05"/>
    <w:rsid w:val="00CD5896"/>
    <w:rsid w:val="00CF7C26"/>
    <w:rsid w:val="00D03F46"/>
    <w:rsid w:val="00D43664"/>
    <w:rsid w:val="00D540EB"/>
    <w:rsid w:val="00D547A4"/>
    <w:rsid w:val="00D63495"/>
    <w:rsid w:val="00D87A00"/>
    <w:rsid w:val="00D97868"/>
    <w:rsid w:val="00DC7B8C"/>
    <w:rsid w:val="00DD4772"/>
    <w:rsid w:val="00DD4EBE"/>
    <w:rsid w:val="00DE4186"/>
    <w:rsid w:val="00DF18D6"/>
    <w:rsid w:val="00DF54BB"/>
    <w:rsid w:val="00E14333"/>
    <w:rsid w:val="00E27A54"/>
    <w:rsid w:val="00E319FE"/>
    <w:rsid w:val="00E31E1C"/>
    <w:rsid w:val="00E3559E"/>
    <w:rsid w:val="00E425CB"/>
    <w:rsid w:val="00E8069B"/>
    <w:rsid w:val="00E81518"/>
    <w:rsid w:val="00E83EC1"/>
    <w:rsid w:val="00ED53FE"/>
    <w:rsid w:val="00EF06B4"/>
    <w:rsid w:val="00EF3400"/>
    <w:rsid w:val="00F05D8F"/>
    <w:rsid w:val="00F06ACB"/>
    <w:rsid w:val="00F23725"/>
    <w:rsid w:val="00F357FB"/>
    <w:rsid w:val="00F35A7A"/>
    <w:rsid w:val="00F54E91"/>
    <w:rsid w:val="00F64FD8"/>
    <w:rsid w:val="00F65A01"/>
    <w:rsid w:val="00F812FF"/>
    <w:rsid w:val="00F81A07"/>
    <w:rsid w:val="00F91452"/>
    <w:rsid w:val="00F926C7"/>
    <w:rsid w:val="00FA16B9"/>
    <w:rsid w:val="00FB00C5"/>
    <w:rsid w:val="00FB0EB0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606DA4"/>
  <w15:docId w15:val="{1BDDCDEE-B9CB-4AE4-A84C-4D57EFBB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8779E9"/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8839AA"/>
  </w:style>
  <w:style w:type="paragraph" w:customStyle="1" w:styleId="Anlage">
    <w:name w:val="Anlage"/>
    <w:basedOn w:val="Standard"/>
    <w:rsid w:val="008839AA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9AA"/>
    <w:rPr>
      <w:sz w:val="20"/>
      <w:szCs w:val="20"/>
    </w:rPr>
  </w:style>
  <w:style w:type="paragraph" w:customStyle="1" w:styleId="Listenabsatz1">
    <w:name w:val="Listenabsatz1"/>
    <w:basedOn w:val="Standard"/>
    <w:rsid w:val="00B170A5"/>
    <w:pPr>
      <w:suppressAutoHyphens/>
      <w:spacing w:line="360" w:lineRule="auto"/>
      <w:ind w:left="720"/>
    </w:pPr>
    <w:rPr>
      <w:rFonts w:ascii="Arial" w:eastAsia="Times New Roman" w:hAnsi="Arial" w:cs="Times New Roman"/>
      <w:lang w:eastAsia="ar-SA"/>
    </w:rPr>
  </w:style>
  <w:style w:type="table" w:styleId="Tabellenraster">
    <w:name w:val="Table Grid"/>
    <w:basedOn w:val="NormaleTabelle"/>
    <w:uiPriority w:val="59"/>
    <w:rsid w:val="0063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h_die\Desktop\D-EITI%20Vorlage_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1A0AC-ACEE-4958-8F2A-F8451DC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D-EITI Vorlage_Dokument.dotx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Steinhoefel</dc:creator>
  <cp:lastModifiedBy>Steinhoefel, Diego GIZ</cp:lastModifiedBy>
  <cp:revision>4</cp:revision>
  <cp:lastPrinted>2018-01-22T15:12:00Z</cp:lastPrinted>
  <dcterms:created xsi:type="dcterms:W3CDTF">2018-01-22T11:44:00Z</dcterms:created>
  <dcterms:modified xsi:type="dcterms:W3CDTF">2018-01-22T15:15:00Z</dcterms:modified>
</cp:coreProperties>
</file>