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4522A" w14:textId="77777777" w:rsidR="00112883" w:rsidRPr="00EB0DCB" w:rsidRDefault="000B32B7" w:rsidP="00D2021D">
      <w:pPr>
        <w:jc w:val="center"/>
        <w:rPr>
          <w:rStyle w:val="Seitenzahl"/>
          <w:b/>
        </w:rPr>
      </w:pPr>
      <w:bookmarkStart w:id="0" w:name="_GoBack"/>
      <w:bookmarkEnd w:id="0"/>
      <w:r w:rsidRPr="00EB0DCB">
        <w:rPr>
          <w:rStyle w:val="Seitenzahl"/>
          <w:b/>
          <w:u w:val="single"/>
        </w:rPr>
        <w:t xml:space="preserve">Bericht </w:t>
      </w:r>
      <w:r w:rsidR="007770A1" w:rsidRPr="00EB0DCB">
        <w:rPr>
          <w:rStyle w:val="Seitenzahl"/>
          <w:b/>
          <w:u w:val="single"/>
        </w:rPr>
        <w:t xml:space="preserve">EITI Board Meeting am </w:t>
      </w:r>
      <w:r w:rsidR="00D2021D">
        <w:rPr>
          <w:rStyle w:val="Seitenzahl"/>
          <w:b/>
          <w:u w:val="single"/>
        </w:rPr>
        <w:t xml:space="preserve">13.-14. Februar in Oslo, </w:t>
      </w:r>
      <w:r w:rsidR="001D3FDE">
        <w:rPr>
          <w:rStyle w:val="Seitenzahl"/>
          <w:b/>
          <w:u w:val="single"/>
        </w:rPr>
        <w:t>NOR</w:t>
      </w:r>
    </w:p>
    <w:p w14:paraId="3A50F29E" w14:textId="77777777" w:rsidR="007770A1" w:rsidRDefault="007770A1" w:rsidP="00B07DD9">
      <w:pPr>
        <w:jc w:val="both"/>
        <w:rPr>
          <w:rStyle w:val="Seitenzahl"/>
          <w:b/>
        </w:rPr>
      </w:pPr>
    </w:p>
    <w:p w14:paraId="4E787DAD" w14:textId="77777777" w:rsidR="0021338C" w:rsidRDefault="0021338C" w:rsidP="00B07DD9">
      <w:pPr>
        <w:jc w:val="both"/>
        <w:rPr>
          <w:rStyle w:val="Seitenzahl"/>
        </w:rPr>
      </w:pPr>
    </w:p>
    <w:p w14:paraId="7F7A2D5C" w14:textId="77777777" w:rsidR="000B32B7" w:rsidRDefault="000B32B7" w:rsidP="000B32B7">
      <w:pPr>
        <w:spacing w:after="120" w:line="276" w:lineRule="auto"/>
        <w:jc w:val="both"/>
        <w:rPr>
          <w:rStyle w:val="Seitenzahl"/>
          <w:b/>
        </w:rPr>
      </w:pPr>
      <w:r w:rsidRPr="0074652A">
        <w:rPr>
          <w:rStyle w:val="Seitenzahl"/>
          <w:b/>
          <w:u w:val="single"/>
        </w:rPr>
        <w:t>Hintergrund</w:t>
      </w:r>
      <w:r>
        <w:rPr>
          <w:rStyle w:val="Seitenzahl"/>
          <w:b/>
        </w:rPr>
        <w:t>:</w:t>
      </w:r>
    </w:p>
    <w:p w14:paraId="0D2B289F" w14:textId="77777777" w:rsidR="001D3FDE" w:rsidRPr="00C9254B" w:rsidRDefault="00EB0DCB" w:rsidP="001D3FDE">
      <w:pPr>
        <w:spacing w:after="120" w:line="276" w:lineRule="auto"/>
        <w:jc w:val="both"/>
        <w:rPr>
          <w:rStyle w:val="Seitenzahl"/>
        </w:rPr>
      </w:pPr>
      <w:r w:rsidRPr="00C9254B">
        <w:rPr>
          <w:rStyle w:val="Seitenzahl"/>
        </w:rPr>
        <w:t xml:space="preserve">Am </w:t>
      </w:r>
      <w:r w:rsidR="00D2021D" w:rsidRPr="00C9254B">
        <w:rPr>
          <w:rStyle w:val="Seitenzahl"/>
        </w:rPr>
        <w:t>13.</w:t>
      </w:r>
      <w:r w:rsidR="00972B2F">
        <w:rPr>
          <w:rStyle w:val="Seitenzahl"/>
        </w:rPr>
        <w:t xml:space="preserve"> und </w:t>
      </w:r>
      <w:r w:rsidR="00D2021D" w:rsidRPr="00C9254B">
        <w:rPr>
          <w:rStyle w:val="Seitenzahl"/>
        </w:rPr>
        <w:t>14. Februar 2018</w:t>
      </w:r>
      <w:r w:rsidR="00910A6C" w:rsidRPr="00C9254B">
        <w:rPr>
          <w:rStyle w:val="Seitenzahl"/>
        </w:rPr>
        <w:t xml:space="preserve"> fand in </w:t>
      </w:r>
      <w:r w:rsidR="00D2021D" w:rsidRPr="00C9254B">
        <w:rPr>
          <w:rStyle w:val="Seitenzahl"/>
        </w:rPr>
        <w:t xml:space="preserve">Oslo, </w:t>
      </w:r>
      <w:r w:rsidR="001D3FDE" w:rsidRPr="00C9254B">
        <w:rPr>
          <w:rStyle w:val="Seitenzahl"/>
        </w:rPr>
        <w:t>NOR</w:t>
      </w:r>
      <w:r w:rsidR="00910A6C" w:rsidRPr="00C9254B">
        <w:rPr>
          <w:rStyle w:val="Seitenzahl"/>
        </w:rPr>
        <w:t>,</w:t>
      </w:r>
      <w:r w:rsidR="000B32B7" w:rsidRPr="00C9254B">
        <w:rPr>
          <w:rStyle w:val="Seitenzahl"/>
        </w:rPr>
        <w:t xml:space="preserve"> die 3</w:t>
      </w:r>
      <w:r w:rsidR="00D2021D" w:rsidRPr="00C9254B">
        <w:rPr>
          <w:rStyle w:val="Seitenzahl"/>
        </w:rPr>
        <w:t>9</w:t>
      </w:r>
      <w:r w:rsidR="000B32B7" w:rsidRPr="00C9254B">
        <w:rPr>
          <w:rStyle w:val="Seitenzahl"/>
        </w:rPr>
        <w:t xml:space="preserve">. Sitzung des internationalen Vorstands der </w:t>
      </w:r>
      <w:r w:rsidR="000B32B7" w:rsidRPr="00C9254B">
        <w:rPr>
          <w:rStyle w:val="Seitenzahl"/>
          <w:b/>
        </w:rPr>
        <w:t>Extractive Industries Transparency Initiative (EITI)</w:t>
      </w:r>
      <w:r w:rsidR="000B32B7" w:rsidRPr="00C9254B">
        <w:rPr>
          <w:rStyle w:val="Seitenzahl"/>
        </w:rPr>
        <w:t xml:space="preserve"> statt.</w:t>
      </w:r>
      <w:r w:rsidR="000B32B7" w:rsidRPr="00C9254B">
        <w:rPr>
          <w:rFonts w:cs="Arial"/>
        </w:rPr>
        <w:t xml:space="preserve"> </w:t>
      </w:r>
      <w:r w:rsidR="001D3FDE" w:rsidRPr="00C9254B">
        <w:rPr>
          <w:rFonts w:cs="Arial"/>
        </w:rPr>
        <w:t>EITI ist eine globale Initiative für mehr Finanztransparenz und Rechenschaftspflicht bei der Erfassung und Offenlegung von Einnahmen, die beim Abbau natürliche</w:t>
      </w:r>
      <w:r w:rsidR="00972B2F">
        <w:rPr>
          <w:rFonts w:cs="Arial"/>
        </w:rPr>
        <w:t>r</w:t>
      </w:r>
      <w:r w:rsidR="001D3FDE" w:rsidRPr="00C9254B">
        <w:rPr>
          <w:rFonts w:cs="Arial"/>
        </w:rPr>
        <w:t xml:space="preserve"> Ressourcen entstehen. EITI wird in freiwilliger Selbstverpflichtung von den Regierungen rohstoffproduzierender Staaten gemeinsam mit zivilgesellschaftlichen Akteuren sowie Unternehmen umgesetzt (Multi-Stakeholder-Prozess). </w:t>
      </w:r>
      <w:r w:rsidR="00D018BA">
        <w:rPr>
          <w:rFonts w:cs="Arial"/>
        </w:rPr>
        <w:t>51</w:t>
      </w:r>
      <w:r w:rsidR="001D3FDE" w:rsidRPr="00C9254B">
        <w:rPr>
          <w:rFonts w:cs="Arial"/>
        </w:rPr>
        <w:t xml:space="preserve"> Staaten implementieren derzeit EITI. </w:t>
      </w:r>
    </w:p>
    <w:p w14:paraId="4BC21B86" w14:textId="51E97B6F" w:rsidR="00D018BA" w:rsidRPr="00C9254B" w:rsidRDefault="001D3FDE" w:rsidP="00D018BA">
      <w:pPr>
        <w:spacing w:after="120" w:line="276" w:lineRule="auto"/>
        <w:jc w:val="both"/>
        <w:rPr>
          <w:rStyle w:val="Seitenzahl"/>
        </w:rPr>
      </w:pPr>
      <w:r w:rsidRPr="00C9254B">
        <w:rPr>
          <w:rStyle w:val="Seitenzahl"/>
        </w:rPr>
        <w:t xml:space="preserve">Der Vorstand (Board) der Initiative setzt sich aus den Akteursgruppen Regierungen, Privatwirtschaft und Zivilgesellschaft zusammen und umfasst 21 Sitze (1 Vorsitz, 6 implementierende Staaten, 3 unterstützende Staaten, 5 Unternehmen, 1 Investor, 5 zivilgesellschaftliche Organisationen). </w:t>
      </w:r>
      <w:r w:rsidRPr="00C9254B">
        <w:rPr>
          <w:rStyle w:val="Seitenzahl"/>
          <w:b/>
        </w:rPr>
        <w:t>Das BMZ repräsentiert die BuReg</w:t>
      </w:r>
      <w:r w:rsidRPr="00C9254B">
        <w:rPr>
          <w:rStyle w:val="Seitenzahl"/>
        </w:rPr>
        <w:t xml:space="preserve"> im Rahmen einer von drei regionalen Stimmrechtsgruppen der unterstützenden Staaten im Vorstand. </w:t>
      </w:r>
      <w:r w:rsidR="00D018BA" w:rsidRPr="00744039">
        <w:rPr>
          <w:rStyle w:val="Seitenzahl"/>
          <w:rFonts w:cs="Arial"/>
        </w:rPr>
        <w:t xml:space="preserve">Das </w:t>
      </w:r>
      <w:r w:rsidR="00D018BA" w:rsidRPr="00F26B27">
        <w:rPr>
          <w:rStyle w:val="Seitenzahl"/>
          <w:rFonts w:cs="Arial"/>
          <w:b/>
        </w:rPr>
        <w:t xml:space="preserve">BMWi ist in einer </w:t>
      </w:r>
      <w:r w:rsidR="00D018BA">
        <w:rPr>
          <w:rStyle w:val="Seitenzahl"/>
          <w:rFonts w:cs="Arial"/>
          <w:b/>
        </w:rPr>
        <w:t>der</w:t>
      </w:r>
      <w:r w:rsidR="00D018BA" w:rsidRPr="00F26B27">
        <w:rPr>
          <w:rStyle w:val="Seitenzahl"/>
          <w:rFonts w:cs="Arial"/>
          <w:b/>
        </w:rPr>
        <w:t xml:space="preserve"> 6 regionalen Stimmrechtsgruppen der implementierenden Länder vertreten</w:t>
      </w:r>
      <w:r w:rsidR="00D018BA" w:rsidRPr="00744039">
        <w:rPr>
          <w:rStyle w:val="Seitenzahl"/>
          <w:rFonts w:cs="Arial"/>
        </w:rPr>
        <w:t xml:space="preserve"> (Implementing Countries Subconstituency Region 6: </w:t>
      </w:r>
      <w:r w:rsidR="009C2145">
        <w:rPr>
          <w:rStyle w:val="Seitenzahl"/>
          <w:rFonts w:cs="Arial"/>
        </w:rPr>
        <w:t>NOR, ALB, GBR, DEU, PER, GTM, TTO, HND, USA, COL, SUR, GUY, MEX, DOM)</w:t>
      </w:r>
      <w:r w:rsidR="00612E38">
        <w:rPr>
          <w:rStyle w:val="Seitenzahl"/>
          <w:rFonts w:cs="Arial"/>
        </w:rPr>
        <w:t>,</w:t>
      </w:r>
      <w:r w:rsidR="009C2145">
        <w:rPr>
          <w:rStyle w:val="Seitenzahl"/>
          <w:rFonts w:cs="Arial"/>
        </w:rPr>
        <w:t xml:space="preserve"> </w:t>
      </w:r>
      <w:r w:rsidR="00D018BA" w:rsidRPr="00744039">
        <w:rPr>
          <w:rStyle w:val="Seitenzahl"/>
          <w:rFonts w:cs="Arial"/>
        </w:rPr>
        <w:t>nimmt dort jedoch nur eine passive Beobachterrolle ein und enthält sich bei Abstimmungen</w:t>
      </w:r>
      <w:r w:rsidR="00D018BA">
        <w:rPr>
          <w:rStyle w:val="Seitenzahl"/>
          <w:rFonts w:cs="Arial"/>
        </w:rPr>
        <w:t>.</w:t>
      </w:r>
    </w:p>
    <w:p w14:paraId="70A6D39F" w14:textId="77777777" w:rsidR="001D3FDE" w:rsidRPr="00C9254B" w:rsidRDefault="001D3FDE" w:rsidP="001D3FDE">
      <w:pPr>
        <w:spacing w:after="120" w:line="276" w:lineRule="auto"/>
        <w:jc w:val="both"/>
        <w:rPr>
          <w:rStyle w:val="Seitenzahl"/>
        </w:rPr>
      </w:pPr>
      <w:r w:rsidRPr="00C9254B">
        <w:rPr>
          <w:rStyle w:val="Seitenzahl"/>
        </w:rPr>
        <w:t>Die BuReg unterstützt EITI seit der Gründung politisch, finanziell und technisch. Finanzielle Unterstützung wird über Zuwendungen an das int. Sekretariat (</w:t>
      </w:r>
      <w:r w:rsidRPr="00940F0F">
        <w:rPr>
          <w:rStyle w:val="Seitenzahl"/>
        </w:rPr>
        <w:t>BMZ-Beitrag 2017: 190.000 €)</w:t>
      </w:r>
      <w:r w:rsidRPr="00C9254B">
        <w:rPr>
          <w:rStyle w:val="Seitenzahl"/>
        </w:rPr>
        <w:t xml:space="preserve"> sowie den von der Weltbank verwalteten Multi-Geber-Treuhandfonds Extractives Global Programmatic Support (EGPS; BMZ-Beitrag 2018: </w:t>
      </w:r>
      <w:r w:rsidR="007F46A4" w:rsidRPr="00C9254B">
        <w:rPr>
          <w:rStyle w:val="Seitenzahl"/>
        </w:rPr>
        <w:t>275</w:t>
      </w:r>
      <w:r w:rsidRPr="00C9254B">
        <w:rPr>
          <w:rStyle w:val="Seitenzahl"/>
        </w:rPr>
        <w:t xml:space="preserve">.000 EUR) geleistet. Darüber hinaus unterstützt DEU nationale EITI-Prozesse in zahlreichen Partnerländern </w:t>
      </w:r>
      <w:r w:rsidR="00972B2F">
        <w:rPr>
          <w:rStyle w:val="Seitenzahl"/>
        </w:rPr>
        <w:t>der deutschen Entwicklungszusammenarbeit</w:t>
      </w:r>
      <w:r w:rsidRPr="00C9254B">
        <w:rPr>
          <w:rStyle w:val="Seitenzahl"/>
        </w:rPr>
        <w:t xml:space="preserve">. </w:t>
      </w:r>
    </w:p>
    <w:p w14:paraId="4B1162D6" w14:textId="77777777" w:rsidR="001D3FDE" w:rsidRPr="00C9254B" w:rsidRDefault="001D3FDE" w:rsidP="001D3FDE">
      <w:pPr>
        <w:spacing w:after="120" w:line="276" w:lineRule="auto"/>
        <w:jc w:val="both"/>
        <w:rPr>
          <w:rStyle w:val="Seitenzahl"/>
        </w:rPr>
      </w:pPr>
      <w:r w:rsidRPr="00C9254B">
        <w:rPr>
          <w:rStyle w:val="Seitenzahl"/>
        </w:rPr>
        <w:t xml:space="preserve">Im Juli 2014 kündigte die BuReg die </w:t>
      </w:r>
      <w:r w:rsidRPr="005B6083">
        <w:rPr>
          <w:rStyle w:val="Seitenzahl"/>
          <w:b/>
        </w:rPr>
        <w:t>Implementierung von EITI in DEU</w:t>
      </w:r>
      <w:r w:rsidRPr="00C9254B">
        <w:rPr>
          <w:rStyle w:val="Seitenzahl"/>
        </w:rPr>
        <w:t xml:space="preserve"> an (FF: BMWi). Seit Februar 2016 hält DEU offiziell den Status eines EITI-Kandidatenlandes. Der erste D-EITI Bericht wurde im August 2017 veröffentlicht</w:t>
      </w:r>
      <w:r w:rsidR="0009385C">
        <w:rPr>
          <w:rStyle w:val="Seitenzahl"/>
        </w:rPr>
        <w:t>. A</w:t>
      </w:r>
      <w:r w:rsidR="00D018BA">
        <w:rPr>
          <w:rStyle w:val="Seitenzahl"/>
        </w:rPr>
        <w:t>ufgrund abweichende</w:t>
      </w:r>
      <w:r w:rsidR="0009385C">
        <w:rPr>
          <w:rStyle w:val="Seitenzahl"/>
        </w:rPr>
        <w:t>r</w:t>
      </w:r>
      <w:r w:rsidR="00D018BA">
        <w:rPr>
          <w:rStyle w:val="Seitenzahl"/>
        </w:rPr>
        <w:t xml:space="preserve"> Fristen der </w:t>
      </w:r>
      <w:r w:rsidR="0009385C">
        <w:rPr>
          <w:rStyle w:val="Seitenzahl"/>
        </w:rPr>
        <w:t xml:space="preserve">nicht börsennotierten </w:t>
      </w:r>
      <w:r w:rsidR="00D018BA">
        <w:rPr>
          <w:rStyle w:val="Seitenzahl"/>
        </w:rPr>
        <w:t>Unternehmen für die Berichterstattung nach BilRUG ist für April 2018 ein Nachtragsbericht vorgesehen. Die erste Validierung nach dem EITI Standard 2016 findet vrrs.im Frühjahr 2019 statt.</w:t>
      </w:r>
      <w:r w:rsidR="00D018BA" w:rsidRPr="00C9254B">
        <w:rPr>
          <w:rStyle w:val="Seitenzahl"/>
        </w:rPr>
        <w:t xml:space="preserve"> </w:t>
      </w:r>
      <w:r w:rsidR="00D018BA" w:rsidRPr="00744039">
        <w:rPr>
          <w:rStyle w:val="Seitenzahl"/>
          <w:rFonts w:cs="Arial"/>
        </w:rPr>
        <w:t>F</w:t>
      </w:r>
      <w:r w:rsidR="00D018BA" w:rsidRPr="00744039">
        <w:rPr>
          <w:rFonts w:cs="Arial"/>
        </w:rPr>
        <w:t>olgende</w:t>
      </w:r>
      <w:r w:rsidR="00D018BA" w:rsidRPr="00744039">
        <w:rPr>
          <w:rStyle w:val="Seitenzahl"/>
          <w:rFonts w:cs="Arial"/>
        </w:rPr>
        <w:t xml:space="preserve"> </w:t>
      </w:r>
      <w:r w:rsidR="00D018BA" w:rsidRPr="00781889">
        <w:rPr>
          <w:rStyle w:val="Seitenzahl"/>
          <w:rFonts w:cs="Arial"/>
          <w:b/>
        </w:rPr>
        <w:t>OECD-Länder</w:t>
      </w:r>
      <w:r w:rsidR="00D018BA" w:rsidRPr="00744039">
        <w:rPr>
          <w:rStyle w:val="Seitenzahl"/>
          <w:rFonts w:cs="Arial"/>
        </w:rPr>
        <w:t xml:space="preserve"> </w:t>
      </w:r>
      <w:r w:rsidR="00D018BA" w:rsidRPr="00744039">
        <w:rPr>
          <w:rFonts w:cs="Arial"/>
        </w:rPr>
        <w:t xml:space="preserve">sind </w:t>
      </w:r>
      <w:r w:rsidR="00D018BA" w:rsidRPr="00744039">
        <w:rPr>
          <w:rStyle w:val="Seitenzahl"/>
          <w:rFonts w:cs="Arial"/>
        </w:rPr>
        <w:t>ebenfalls EITI implementierende Länder (GBR, NOR,</w:t>
      </w:r>
      <w:r w:rsidR="00D018BA">
        <w:rPr>
          <w:rStyle w:val="Seitenzahl"/>
          <w:rFonts w:cs="Arial"/>
        </w:rPr>
        <w:t xml:space="preserve"> MEX</w:t>
      </w:r>
      <w:r w:rsidR="00D018BA" w:rsidRPr="00744039">
        <w:rPr>
          <w:rStyle w:val="Seitenzahl"/>
          <w:rFonts w:cs="Arial"/>
        </w:rPr>
        <w:t>) bzw. haben eine zeitnahe Umsetzung der Initiat</w:t>
      </w:r>
      <w:r w:rsidR="00D018BA">
        <w:rPr>
          <w:rStyle w:val="Seitenzahl"/>
          <w:rFonts w:cs="Arial"/>
        </w:rPr>
        <w:t>ive angekündigt (AUS, ITA</w:t>
      </w:r>
      <w:r w:rsidR="00D018BA" w:rsidRPr="00744039">
        <w:rPr>
          <w:rStyle w:val="Seitenzahl"/>
          <w:rFonts w:cs="Arial"/>
        </w:rPr>
        <w:t>, NLD).</w:t>
      </w:r>
    </w:p>
    <w:p w14:paraId="7509911E" w14:textId="77777777" w:rsidR="00DB4510" w:rsidRDefault="001D3FDE" w:rsidP="00DB4510">
      <w:pPr>
        <w:spacing w:after="240" w:line="276" w:lineRule="auto"/>
        <w:jc w:val="both"/>
        <w:rPr>
          <w:rStyle w:val="Seitenzahl"/>
        </w:rPr>
      </w:pPr>
      <w:r>
        <w:rPr>
          <w:rStyle w:val="Seitenzahl"/>
        </w:rPr>
        <w:t>Die BuReg wurde in Oslo durch BMZ (Referat 311)</w:t>
      </w:r>
      <w:r w:rsidR="00972B2F">
        <w:rPr>
          <w:rStyle w:val="Seitenzahl"/>
        </w:rPr>
        <w:t xml:space="preserve"> und </w:t>
      </w:r>
      <w:r>
        <w:rPr>
          <w:rStyle w:val="Seitenzahl"/>
        </w:rPr>
        <w:t>BMWi (RL Internationale Rohstoffpolitik) vertreten.</w:t>
      </w:r>
    </w:p>
    <w:p w14:paraId="0B1122E3" w14:textId="77777777" w:rsidR="000B32B7" w:rsidRPr="000B32B7" w:rsidRDefault="000B32B7" w:rsidP="00612E38">
      <w:pPr>
        <w:spacing w:after="120" w:line="276" w:lineRule="auto"/>
        <w:jc w:val="both"/>
        <w:rPr>
          <w:rStyle w:val="Seitenzahl"/>
          <w:b/>
          <w:u w:val="single"/>
        </w:rPr>
      </w:pPr>
      <w:r w:rsidRPr="000B32B7">
        <w:rPr>
          <w:rStyle w:val="Seitenzahl"/>
          <w:b/>
          <w:u w:val="single"/>
        </w:rPr>
        <w:t xml:space="preserve">Zusammenfassung: </w:t>
      </w:r>
    </w:p>
    <w:p w14:paraId="2B742307" w14:textId="77777777" w:rsidR="00E61284" w:rsidRDefault="007770A1" w:rsidP="00466106">
      <w:pPr>
        <w:spacing w:after="120" w:line="276" w:lineRule="auto"/>
        <w:jc w:val="both"/>
        <w:rPr>
          <w:rStyle w:val="Seitenzahl"/>
        </w:rPr>
      </w:pPr>
      <w:r>
        <w:rPr>
          <w:rStyle w:val="Seitenzahl"/>
        </w:rPr>
        <w:t>Die Sitzung des EITI-Vorstandes</w:t>
      </w:r>
      <w:r w:rsidR="00280061">
        <w:rPr>
          <w:rStyle w:val="Seitenzahl"/>
        </w:rPr>
        <w:t xml:space="preserve"> </w:t>
      </w:r>
      <w:r>
        <w:rPr>
          <w:rStyle w:val="Seitenzahl"/>
        </w:rPr>
        <w:t xml:space="preserve">in </w:t>
      </w:r>
      <w:r w:rsidR="005B3765">
        <w:rPr>
          <w:rStyle w:val="Seitenzahl"/>
        </w:rPr>
        <w:t>Oslo</w:t>
      </w:r>
      <w:r>
        <w:rPr>
          <w:rStyle w:val="Seitenzahl"/>
        </w:rPr>
        <w:t xml:space="preserve"> </w:t>
      </w:r>
      <w:r w:rsidR="00F715C5">
        <w:rPr>
          <w:rStyle w:val="Seitenzahl"/>
        </w:rPr>
        <w:t>wurde von der</w:t>
      </w:r>
      <w:r w:rsidR="008F4823">
        <w:rPr>
          <w:rStyle w:val="Seitenzahl"/>
        </w:rPr>
        <w:t xml:space="preserve"> </w:t>
      </w:r>
      <w:r w:rsidR="00F715C5">
        <w:rPr>
          <w:rStyle w:val="Seitenzahl"/>
        </w:rPr>
        <w:t xml:space="preserve">Diskussion um </w:t>
      </w:r>
      <w:r w:rsidR="005B3765">
        <w:rPr>
          <w:rStyle w:val="Seitenzahl"/>
        </w:rPr>
        <w:t xml:space="preserve">systematische Offenlegung der Zahlungsströme („Mainstreaming“) und die Safeguard-Policy </w:t>
      </w:r>
      <w:r w:rsidR="00F715C5">
        <w:rPr>
          <w:rStyle w:val="Seitenzahl"/>
        </w:rPr>
        <w:t xml:space="preserve">dominiert. Weitere Diskussionspunkte </w:t>
      </w:r>
      <w:r w:rsidR="00065D8F">
        <w:rPr>
          <w:rStyle w:val="Seitenzahl"/>
        </w:rPr>
        <w:t>waren die</w:t>
      </w:r>
      <w:r w:rsidR="008040FB">
        <w:rPr>
          <w:rStyle w:val="Seitenzahl"/>
        </w:rPr>
        <w:t xml:space="preserve"> Suspendierung von </w:t>
      </w:r>
      <w:r w:rsidR="002042FF">
        <w:rPr>
          <w:rStyle w:val="Seitenzahl"/>
          <w:b/>
        </w:rPr>
        <w:t>COG</w:t>
      </w:r>
      <w:r w:rsidR="00065D8F">
        <w:rPr>
          <w:rStyle w:val="Seitenzahl"/>
        </w:rPr>
        <w:t xml:space="preserve"> und die</w:t>
      </w:r>
      <w:r w:rsidR="00D334D6">
        <w:rPr>
          <w:rStyle w:val="Seitenzahl"/>
        </w:rPr>
        <w:t xml:space="preserve"> </w:t>
      </w:r>
      <w:r w:rsidR="005B3765">
        <w:rPr>
          <w:rStyle w:val="Seitenzahl"/>
        </w:rPr>
        <w:t>Finanzierungslücken der Initiative („funding gap“)</w:t>
      </w:r>
      <w:r w:rsidR="00FE2837">
        <w:rPr>
          <w:rStyle w:val="Seitenzahl"/>
        </w:rPr>
        <w:t>.</w:t>
      </w:r>
      <w:r w:rsidR="00E61284" w:rsidRPr="00E61284">
        <w:rPr>
          <w:rStyle w:val="Seitenzahl"/>
        </w:rPr>
        <w:t xml:space="preserve"> </w:t>
      </w:r>
    </w:p>
    <w:p w14:paraId="21707EBD" w14:textId="77777777" w:rsidR="00FE2837" w:rsidRDefault="00E61284" w:rsidP="00466106">
      <w:pPr>
        <w:spacing w:after="120" w:line="276" w:lineRule="auto"/>
        <w:jc w:val="both"/>
        <w:rPr>
          <w:rStyle w:val="Seitenzahl"/>
        </w:rPr>
      </w:pPr>
      <w:r>
        <w:rPr>
          <w:rStyle w:val="Seitenzahl"/>
        </w:rPr>
        <w:t xml:space="preserve">Der Leiter des internationalen EITI-Sekretariats Jonas Moberg hat in seinem Bericht an das Board folgende </w:t>
      </w:r>
      <w:r w:rsidR="00874A62">
        <w:rPr>
          <w:rStyle w:val="Seitenzahl"/>
        </w:rPr>
        <w:t xml:space="preserve">aktuelle </w:t>
      </w:r>
      <w:r>
        <w:rPr>
          <w:rStyle w:val="Seitenzahl"/>
        </w:rPr>
        <w:t xml:space="preserve">Herausforderungen für die EITI-Implementierung hervorgehoben: fehlende politische Unterstützung in vielen implementierenden Ländern, fehlende Finanzierung, u.a. des internationalen Sekretariats durch die unterstützenden Staaten, die Komplexität der </w:t>
      </w:r>
      <w:r>
        <w:rPr>
          <w:rStyle w:val="Seitenzahl"/>
        </w:rPr>
        <w:lastRenderedPageBreak/>
        <w:t>Anforderungen des EITI-Standards, fragwürdiges Verhalten von einigen unterstützenden Unternehmen und die Safeguard-Policy. Alle diese Punkte wurden im Laufe des Boardmeetings diskutiert.</w:t>
      </w:r>
      <w:r w:rsidR="0028657F">
        <w:rPr>
          <w:rStyle w:val="Seitenzahl"/>
        </w:rPr>
        <w:t xml:space="preserve"> Moberg wies auch </w:t>
      </w:r>
      <w:r w:rsidR="00466106">
        <w:rPr>
          <w:rStyle w:val="Seitenzahl"/>
        </w:rPr>
        <w:t xml:space="preserve">darauf hin, dass die Outreach-Aktivitäten des Sekretariats, </w:t>
      </w:r>
      <w:r w:rsidR="00DB4510">
        <w:rPr>
          <w:rStyle w:val="Seitenzahl"/>
        </w:rPr>
        <w:t xml:space="preserve">d.h. Ansprache möglicher </w:t>
      </w:r>
      <w:r w:rsidR="00466106">
        <w:rPr>
          <w:rStyle w:val="Seitenzahl"/>
        </w:rPr>
        <w:t>neue</w:t>
      </w:r>
      <w:r w:rsidR="00DB4510">
        <w:rPr>
          <w:rStyle w:val="Seitenzahl"/>
        </w:rPr>
        <w:t>r</w:t>
      </w:r>
      <w:r w:rsidR="00466106">
        <w:rPr>
          <w:rStyle w:val="Seitenzahl"/>
        </w:rPr>
        <w:t xml:space="preserve"> Implementierungsländer, aufgrund der fehlenden Finanzierung und Auslastung des Sekretariats nur im begrenzten Maße möglich sind. Derzeit bemüht sich das Sekretariat um möglichen Beitritt von </w:t>
      </w:r>
      <w:r w:rsidR="002042FF">
        <w:rPr>
          <w:rStyle w:val="Seitenzahl"/>
        </w:rPr>
        <w:t>AGO</w:t>
      </w:r>
      <w:r w:rsidR="00466106">
        <w:rPr>
          <w:rStyle w:val="Seitenzahl"/>
        </w:rPr>
        <w:t xml:space="preserve">, </w:t>
      </w:r>
      <w:r w:rsidR="002042FF">
        <w:rPr>
          <w:rStyle w:val="Seitenzahl"/>
        </w:rPr>
        <w:t xml:space="preserve">ARG </w:t>
      </w:r>
      <w:r w:rsidR="00466106">
        <w:rPr>
          <w:rStyle w:val="Seitenzahl"/>
        </w:rPr>
        <w:t xml:space="preserve">und </w:t>
      </w:r>
      <w:r w:rsidR="002042FF">
        <w:rPr>
          <w:rStyle w:val="Seitenzahl"/>
        </w:rPr>
        <w:t>LBN</w:t>
      </w:r>
      <w:r w:rsidR="00466106">
        <w:rPr>
          <w:rStyle w:val="Seitenzahl"/>
        </w:rPr>
        <w:t xml:space="preserve">. </w:t>
      </w:r>
    </w:p>
    <w:p w14:paraId="73BADF2A" w14:textId="77777777" w:rsidR="00E61284" w:rsidRDefault="005513E8" w:rsidP="00466106">
      <w:pPr>
        <w:spacing w:after="240" w:line="276" w:lineRule="auto"/>
        <w:rPr>
          <w:rStyle w:val="Seitenzahl"/>
        </w:rPr>
      </w:pPr>
      <w:r>
        <w:rPr>
          <w:rStyle w:val="Seitenzahl"/>
        </w:rPr>
        <w:t xml:space="preserve">Das Boardmeeting wurde </w:t>
      </w:r>
      <w:r w:rsidR="00814DAD">
        <w:rPr>
          <w:rStyle w:val="Seitenzahl"/>
        </w:rPr>
        <w:t xml:space="preserve">mit </w:t>
      </w:r>
      <w:r>
        <w:rPr>
          <w:rStyle w:val="Seitenzahl"/>
        </w:rPr>
        <w:t xml:space="preserve">einer Session zu Mainstreaming eröffnet, in der mehrere Länder, darunter auch </w:t>
      </w:r>
      <w:r w:rsidR="002042FF">
        <w:rPr>
          <w:rStyle w:val="Seitenzahl"/>
        </w:rPr>
        <w:t xml:space="preserve">DEU </w:t>
      </w:r>
      <w:r w:rsidR="007961AA">
        <w:rPr>
          <w:rStyle w:val="Seitenzahl"/>
        </w:rPr>
        <w:t xml:space="preserve">und </w:t>
      </w:r>
      <w:r w:rsidR="002042FF">
        <w:rPr>
          <w:rStyle w:val="Seitenzahl"/>
        </w:rPr>
        <w:t>SEN</w:t>
      </w:r>
      <w:r>
        <w:rPr>
          <w:rStyle w:val="Seitenzahl"/>
        </w:rPr>
        <w:t>, ihre Erfahrung</w:t>
      </w:r>
      <w:r w:rsidR="00814DAD">
        <w:rPr>
          <w:rStyle w:val="Seitenzahl"/>
        </w:rPr>
        <w:t>en</w:t>
      </w:r>
      <w:r>
        <w:rPr>
          <w:rStyle w:val="Seitenzahl"/>
        </w:rPr>
        <w:t xml:space="preserve"> und den bisherigen Stand des Prozesses präsentiert haben. </w:t>
      </w:r>
      <w:r w:rsidR="002042FF">
        <w:rPr>
          <w:rStyle w:val="Seitenzahl"/>
          <w:b/>
        </w:rPr>
        <w:t>SEN</w:t>
      </w:r>
      <w:r w:rsidR="002042FF" w:rsidRPr="007961AA">
        <w:rPr>
          <w:rStyle w:val="Seitenzahl"/>
          <w:b/>
        </w:rPr>
        <w:t xml:space="preserve"> </w:t>
      </w:r>
      <w:r w:rsidR="007961AA">
        <w:rPr>
          <w:rStyle w:val="Seitenzahl"/>
        </w:rPr>
        <w:t xml:space="preserve">war </w:t>
      </w:r>
      <w:r w:rsidR="00DB4510">
        <w:rPr>
          <w:rStyle w:val="Seitenzahl"/>
        </w:rPr>
        <w:t xml:space="preserve">durch </w:t>
      </w:r>
      <w:r w:rsidR="007961AA">
        <w:rPr>
          <w:rStyle w:val="Seitenzahl"/>
        </w:rPr>
        <w:t>die Ministerin für Bergbau</w:t>
      </w:r>
      <w:r w:rsidR="00814DAD">
        <w:rPr>
          <w:rStyle w:val="Seitenzahl"/>
        </w:rPr>
        <w:t>,</w:t>
      </w:r>
      <w:r w:rsidR="007961AA">
        <w:rPr>
          <w:rStyle w:val="Seitenzahl"/>
        </w:rPr>
        <w:t xml:space="preserve"> Sophie Gladima, de</w:t>
      </w:r>
      <w:r w:rsidR="00DB4510">
        <w:rPr>
          <w:rStyle w:val="Seitenzahl"/>
        </w:rPr>
        <w:t>n</w:t>
      </w:r>
      <w:r w:rsidR="007961AA">
        <w:rPr>
          <w:rStyle w:val="Seitenzahl"/>
        </w:rPr>
        <w:t xml:space="preserve"> Minister für Öl und Energie</w:t>
      </w:r>
      <w:r w:rsidR="00814DAD">
        <w:rPr>
          <w:rStyle w:val="Seitenzahl"/>
        </w:rPr>
        <w:t>,</w:t>
      </w:r>
      <w:r w:rsidR="007961AA">
        <w:rPr>
          <w:rStyle w:val="Seitenzahl"/>
        </w:rPr>
        <w:t xml:space="preserve"> Mansour Elimane Kane, sowie de</w:t>
      </w:r>
      <w:r w:rsidR="00DB4510">
        <w:rPr>
          <w:rStyle w:val="Seitenzahl"/>
        </w:rPr>
        <w:t>n</w:t>
      </w:r>
      <w:r w:rsidR="007961AA">
        <w:rPr>
          <w:rStyle w:val="Seitenzahl"/>
        </w:rPr>
        <w:t xml:space="preserve"> Vorsitzender der </w:t>
      </w:r>
      <w:r w:rsidR="00DB4510">
        <w:rPr>
          <w:rStyle w:val="Seitenzahl"/>
        </w:rPr>
        <w:t xml:space="preserve">SEN </w:t>
      </w:r>
      <w:r w:rsidR="007961AA">
        <w:rPr>
          <w:rStyle w:val="Seitenzahl"/>
        </w:rPr>
        <w:t>EITI-Multi-Stakeholder-Gruppe</w:t>
      </w:r>
      <w:r w:rsidR="00814DAD">
        <w:rPr>
          <w:rStyle w:val="Seitenzahl"/>
        </w:rPr>
        <w:t>,</w:t>
      </w:r>
      <w:r w:rsidR="007961AA">
        <w:rPr>
          <w:rStyle w:val="Seitenzahl"/>
        </w:rPr>
        <w:t xml:space="preserve"> Mankeur Ndiaye</w:t>
      </w:r>
      <w:r w:rsidR="00814DAD">
        <w:rPr>
          <w:rStyle w:val="Seitenzahl"/>
        </w:rPr>
        <w:t>,</w:t>
      </w:r>
      <w:r w:rsidR="00DB4510">
        <w:rPr>
          <w:rStyle w:val="Seitenzahl"/>
        </w:rPr>
        <w:t xml:space="preserve"> hochrangig vertreten</w:t>
      </w:r>
      <w:r w:rsidR="007961AA">
        <w:rPr>
          <w:rStyle w:val="Seitenzahl"/>
        </w:rPr>
        <w:t xml:space="preserve">. </w:t>
      </w:r>
      <w:r w:rsidR="006D5932">
        <w:rPr>
          <w:rStyle w:val="Seitenzahl"/>
        </w:rPr>
        <w:t>BMWi präsentierte</w:t>
      </w:r>
      <w:r w:rsidR="0009385C">
        <w:rPr>
          <w:rStyle w:val="Seitenzahl"/>
        </w:rPr>
        <w:t xml:space="preserve"> </w:t>
      </w:r>
      <w:r w:rsidR="006D5932">
        <w:rPr>
          <w:rStyle w:val="Seitenzahl"/>
        </w:rPr>
        <w:t>deutschen</w:t>
      </w:r>
      <w:r w:rsidR="005C4404">
        <w:rPr>
          <w:rStyle w:val="Seitenzahl"/>
        </w:rPr>
        <w:t xml:space="preserve"> Umsetzungsprozess sowie </w:t>
      </w:r>
      <w:r w:rsidR="006D5932">
        <w:rPr>
          <w:rStyle w:val="Seitenzahl"/>
        </w:rPr>
        <w:t xml:space="preserve">die </w:t>
      </w:r>
      <w:r w:rsidR="00DB4510">
        <w:rPr>
          <w:rStyle w:val="Seitenzahl"/>
        </w:rPr>
        <w:t xml:space="preserve">bisherigen Erfahrungen </w:t>
      </w:r>
      <w:r w:rsidR="005C4404">
        <w:rPr>
          <w:rStyle w:val="Seitenzahl"/>
        </w:rPr>
        <w:t xml:space="preserve">und Herausforderungen </w:t>
      </w:r>
      <w:r w:rsidR="006D5932">
        <w:rPr>
          <w:rStyle w:val="Seitenzahl"/>
        </w:rPr>
        <w:t xml:space="preserve">im Bereich </w:t>
      </w:r>
      <w:r w:rsidR="00DB4510">
        <w:rPr>
          <w:rStyle w:val="Seitenzahl"/>
        </w:rPr>
        <w:t>Main</w:t>
      </w:r>
      <w:r w:rsidR="005C4404">
        <w:rPr>
          <w:rStyle w:val="Seitenzahl"/>
        </w:rPr>
        <w:t>s</w:t>
      </w:r>
      <w:r w:rsidR="00DB4510">
        <w:rPr>
          <w:rStyle w:val="Seitenzahl"/>
        </w:rPr>
        <w:t>treaming</w:t>
      </w:r>
      <w:r w:rsidR="006D5932">
        <w:rPr>
          <w:rStyle w:val="Seitenzahl"/>
        </w:rPr>
        <w:t>.</w:t>
      </w:r>
      <w:r w:rsidR="00DB4510">
        <w:rPr>
          <w:rStyle w:val="Seitenzahl"/>
        </w:rPr>
        <w:t xml:space="preserve"> </w:t>
      </w:r>
      <w:r w:rsidR="006D5932">
        <w:rPr>
          <w:rStyle w:val="Seitenzahl"/>
        </w:rPr>
        <w:t xml:space="preserve">Das </w:t>
      </w:r>
      <w:r w:rsidR="005C4404">
        <w:rPr>
          <w:rStyle w:val="Seitenzahl"/>
        </w:rPr>
        <w:t>I</w:t>
      </w:r>
      <w:r w:rsidR="006D5932">
        <w:rPr>
          <w:rStyle w:val="Seitenzahl"/>
        </w:rPr>
        <w:t>nternationale</w:t>
      </w:r>
      <w:r w:rsidR="005C4404">
        <w:rPr>
          <w:rStyle w:val="Seitenzahl"/>
        </w:rPr>
        <w:t xml:space="preserve"> Sekretariat</w:t>
      </w:r>
      <w:r w:rsidR="00DB4510">
        <w:rPr>
          <w:rStyle w:val="Seitenzahl"/>
        </w:rPr>
        <w:t xml:space="preserve"> </w:t>
      </w:r>
      <w:r w:rsidR="006D5932">
        <w:rPr>
          <w:rStyle w:val="Seitenzahl"/>
        </w:rPr>
        <w:t>hob vor diesem Hintergrund die Vorbildfunktion DEUs für die EITI Community insb. im Bereich Mainstreaming hervor.</w:t>
      </w:r>
    </w:p>
    <w:p w14:paraId="63104B89" w14:textId="77777777" w:rsidR="005B3765" w:rsidRDefault="005B3765" w:rsidP="001A64EB">
      <w:pPr>
        <w:spacing w:after="120" w:line="276" w:lineRule="auto"/>
        <w:jc w:val="both"/>
        <w:rPr>
          <w:rStyle w:val="Seitenzahl"/>
          <w:b/>
          <w:u w:val="single"/>
        </w:rPr>
      </w:pPr>
      <w:r w:rsidRPr="005B3765">
        <w:rPr>
          <w:rStyle w:val="Seitenzahl"/>
          <w:b/>
          <w:u w:val="single"/>
        </w:rPr>
        <w:t xml:space="preserve">Implementation progress report </w:t>
      </w:r>
      <w:r>
        <w:rPr>
          <w:rStyle w:val="Seitenzahl"/>
          <w:b/>
          <w:u w:val="single"/>
        </w:rPr>
        <w:t>(IPR)</w:t>
      </w:r>
      <w:r w:rsidR="00DB4510">
        <w:rPr>
          <w:rStyle w:val="Seitenzahl"/>
          <w:b/>
          <w:u w:val="single"/>
        </w:rPr>
        <w:t xml:space="preserve">: </w:t>
      </w:r>
      <w:r w:rsidR="0013201B">
        <w:rPr>
          <w:rStyle w:val="Seitenzahl"/>
          <w:b/>
          <w:u w:val="single"/>
        </w:rPr>
        <w:t>Fokus auf lokale</w:t>
      </w:r>
      <w:r w:rsidR="00DB4510">
        <w:rPr>
          <w:rStyle w:val="Seitenzahl"/>
          <w:b/>
          <w:u w:val="single"/>
        </w:rPr>
        <w:t>r</w:t>
      </w:r>
      <w:r w:rsidR="0013201B">
        <w:rPr>
          <w:rStyle w:val="Seitenzahl"/>
          <w:b/>
          <w:u w:val="single"/>
        </w:rPr>
        <w:t xml:space="preserve"> Wertschöpfung</w:t>
      </w:r>
    </w:p>
    <w:p w14:paraId="032EBB96" w14:textId="77777777" w:rsidR="0013201B" w:rsidRPr="0013201B" w:rsidRDefault="0013201B" w:rsidP="001A64EB">
      <w:pPr>
        <w:spacing w:after="120" w:line="276" w:lineRule="auto"/>
        <w:jc w:val="both"/>
        <w:rPr>
          <w:rStyle w:val="Seitenzahl"/>
        </w:rPr>
      </w:pPr>
      <w:r>
        <w:rPr>
          <w:rStyle w:val="Seitenzahl"/>
        </w:rPr>
        <w:t>Der IPR für die Monate November 2017</w:t>
      </w:r>
      <w:r w:rsidR="00DB4510">
        <w:rPr>
          <w:rStyle w:val="Seitenzahl"/>
        </w:rPr>
        <w:t xml:space="preserve"> bis </w:t>
      </w:r>
      <w:r>
        <w:rPr>
          <w:rStyle w:val="Seitenzahl"/>
        </w:rPr>
        <w:t>Februar 2018 (die Zeit seit dem letzten Boardmeeting in Manila)</w:t>
      </w:r>
      <w:r w:rsidR="00450955">
        <w:rPr>
          <w:rStyle w:val="Seitenzahl"/>
        </w:rPr>
        <w:t xml:space="preserve"> hatte Berichterstattung zur lokalen Wertschöpfung rund um die Rohstoffförderprojekte (</w:t>
      </w:r>
      <w:r w:rsidR="00450955" w:rsidRPr="002B77E6">
        <w:rPr>
          <w:rStyle w:val="Seitenzahl"/>
          <w:b/>
          <w:i/>
        </w:rPr>
        <w:t>local content</w:t>
      </w:r>
      <w:r w:rsidR="00450955">
        <w:rPr>
          <w:rStyle w:val="Seitenzahl"/>
        </w:rPr>
        <w:t xml:space="preserve">) im Fokus. Die Offenlegung der Daten rund um lokale Wertschöpfung ist im EITI-Standard nicht verpflichtend; dennoch haben 25 EITI-Länder in ihren Arbeitsplänen die Berichterstattung zu </w:t>
      </w:r>
      <w:r w:rsidR="00450955" w:rsidRPr="002B77E6">
        <w:rPr>
          <w:rStyle w:val="Seitenzahl"/>
          <w:i/>
        </w:rPr>
        <w:t>local content</w:t>
      </w:r>
      <w:r w:rsidR="00450955">
        <w:rPr>
          <w:rStyle w:val="Seitenzahl"/>
        </w:rPr>
        <w:t xml:space="preserve"> als Bestandteil der EITI-Berichterstattung aufgenommen. Dies steigert die Transparenz auf lokaler Ebene und schafft Anhaltspunkte für die Zusammenarbeit zwischen den Unternehmen und </w:t>
      </w:r>
      <w:r w:rsidR="00F41A20">
        <w:rPr>
          <w:rStyle w:val="Seitenzahl"/>
        </w:rPr>
        <w:t xml:space="preserve">der </w:t>
      </w:r>
      <w:r w:rsidR="00450955">
        <w:rPr>
          <w:rStyle w:val="Seitenzahl"/>
        </w:rPr>
        <w:t xml:space="preserve">Bevölkerung in den Abbaugebieten. Im Bericht wird der </w:t>
      </w:r>
      <w:r w:rsidR="00450955" w:rsidRPr="002B77E6">
        <w:rPr>
          <w:rStyle w:val="Seitenzahl"/>
          <w:i/>
        </w:rPr>
        <w:t>Local procurement reporting mechanism</w:t>
      </w:r>
      <w:r w:rsidR="00450955">
        <w:rPr>
          <w:rStyle w:val="Seitenzahl"/>
        </w:rPr>
        <w:t xml:space="preserve"> (</w:t>
      </w:r>
      <w:r w:rsidR="00450955" w:rsidRPr="002B77E6">
        <w:rPr>
          <w:rStyle w:val="Seitenzahl"/>
          <w:b/>
        </w:rPr>
        <w:t>LPRM</w:t>
      </w:r>
      <w:r w:rsidR="00450955">
        <w:rPr>
          <w:rStyle w:val="Seitenzahl"/>
        </w:rPr>
        <w:t xml:space="preserve">) als ein möglicher Berichtstandard für local content im EITI-Kontext genannt. </w:t>
      </w:r>
      <w:r w:rsidR="00450955" w:rsidRPr="002B77E6">
        <w:rPr>
          <w:rStyle w:val="Seitenzahl"/>
          <w:b/>
        </w:rPr>
        <w:t>LPRM wurde von Engineers without Borders</w:t>
      </w:r>
      <w:r w:rsidR="00DD0F41">
        <w:rPr>
          <w:rStyle w:val="Seitenzahl"/>
          <w:b/>
        </w:rPr>
        <w:t xml:space="preserve"> (EWB)</w:t>
      </w:r>
      <w:r w:rsidR="00450955" w:rsidRPr="002B77E6">
        <w:rPr>
          <w:rStyle w:val="Seitenzahl"/>
          <w:b/>
        </w:rPr>
        <w:t xml:space="preserve"> im Auftrag des BMZ </w:t>
      </w:r>
      <w:r w:rsidR="0028657F">
        <w:rPr>
          <w:rStyle w:val="Seitenzahl"/>
          <w:b/>
        </w:rPr>
        <w:t>erarbeitet</w:t>
      </w:r>
      <w:r w:rsidR="002B77E6">
        <w:rPr>
          <w:rStyle w:val="Seitenzahl"/>
        </w:rPr>
        <w:t xml:space="preserve">. Durch die Übernahme in die EITI-Berichterstattung wird ein Produkt der </w:t>
      </w:r>
      <w:r w:rsidR="00DB4510">
        <w:rPr>
          <w:rStyle w:val="Seitenzahl"/>
        </w:rPr>
        <w:t xml:space="preserve">DEU </w:t>
      </w:r>
      <w:r w:rsidR="002B77E6">
        <w:rPr>
          <w:rStyle w:val="Seitenzahl"/>
        </w:rPr>
        <w:t xml:space="preserve">EZ in Wert gesetzt und weiterentwickelt. </w:t>
      </w:r>
      <w:r w:rsidR="00DD0F41">
        <w:rPr>
          <w:rStyle w:val="Seitenzahl"/>
        </w:rPr>
        <w:t xml:space="preserve">In Kürze wird EWB </w:t>
      </w:r>
      <w:r w:rsidR="00DB4510">
        <w:rPr>
          <w:rStyle w:val="Seitenzahl"/>
        </w:rPr>
        <w:t xml:space="preserve">mit Unterstützung des internationalen EITI-Sekretariats </w:t>
      </w:r>
      <w:r w:rsidR="00DD0F41">
        <w:rPr>
          <w:rStyle w:val="Seitenzahl"/>
        </w:rPr>
        <w:t>eine Reihe an Workshops und Webinars mit nationalen EITI-Stakeholdern zur Nutzung des LPRM durchführen</w:t>
      </w:r>
      <w:r w:rsidR="00F41A20">
        <w:rPr>
          <w:rStyle w:val="Seitenzahl"/>
        </w:rPr>
        <w:t>.</w:t>
      </w:r>
      <w:r w:rsidR="00DD0F41">
        <w:rPr>
          <w:rStyle w:val="Seitenzahl"/>
        </w:rPr>
        <w:t xml:space="preserve"> </w:t>
      </w:r>
    </w:p>
    <w:p w14:paraId="32DF23CA" w14:textId="77777777" w:rsidR="00B8724F" w:rsidRPr="005945DB" w:rsidRDefault="00C9254B" w:rsidP="001A64EB">
      <w:pPr>
        <w:spacing w:after="120" w:line="276" w:lineRule="auto"/>
        <w:rPr>
          <w:rStyle w:val="Seitenzahl"/>
          <w:b/>
          <w:u w:val="single"/>
        </w:rPr>
      </w:pPr>
      <w:r>
        <w:rPr>
          <w:rStyle w:val="Seitenzahl"/>
          <w:b/>
          <w:u w:val="single"/>
        </w:rPr>
        <w:t>Der Übergang zur systematischen Offenlegung</w:t>
      </w:r>
    </w:p>
    <w:p w14:paraId="356CBC00" w14:textId="50D8D72B" w:rsidR="0088457F" w:rsidRDefault="00874A62" w:rsidP="001A64EB">
      <w:pPr>
        <w:spacing w:after="120" w:line="276" w:lineRule="auto"/>
        <w:jc w:val="both"/>
        <w:rPr>
          <w:rStyle w:val="Seitenzahl"/>
        </w:rPr>
      </w:pPr>
      <w:r>
        <w:rPr>
          <w:rStyle w:val="Seitenzahl"/>
        </w:rPr>
        <w:t xml:space="preserve">Beim Treffen in Oslo hat das Board eine wegweisende, grundlegende Empfehlung an die implementierenden Länder ausgesprochen. </w:t>
      </w:r>
      <w:r w:rsidRPr="00C3690C">
        <w:rPr>
          <w:rStyle w:val="Seitenzahl"/>
          <w:b/>
        </w:rPr>
        <w:t>Systematische Offenlegung</w:t>
      </w:r>
      <w:r w:rsidR="00C9254B">
        <w:rPr>
          <w:rStyle w:val="Seitenzahl"/>
          <w:b/>
        </w:rPr>
        <w:t xml:space="preserve"> (systematic disclosure)</w:t>
      </w:r>
      <w:r w:rsidR="0028657F">
        <w:rPr>
          <w:rStyle w:val="Seitenzahl"/>
          <w:b/>
        </w:rPr>
        <w:t xml:space="preserve">, </w:t>
      </w:r>
      <w:r w:rsidR="0028657F" w:rsidRPr="0028657F">
        <w:rPr>
          <w:rStyle w:val="Seitenzahl"/>
        </w:rPr>
        <w:t>auch</w:t>
      </w:r>
      <w:r w:rsidR="0028657F">
        <w:rPr>
          <w:rStyle w:val="Seitenzahl"/>
          <w:b/>
        </w:rPr>
        <w:t xml:space="preserve"> Mainstreaming </w:t>
      </w:r>
      <w:r w:rsidR="0028657F" w:rsidRPr="0028657F">
        <w:rPr>
          <w:rStyle w:val="Seitenzahl"/>
        </w:rPr>
        <w:t>genannt</w:t>
      </w:r>
      <w:r w:rsidR="0028657F">
        <w:rPr>
          <w:rStyle w:val="Seitenzahl"/>
          <w:b/>
        </w:rPr>
        <w:t xml:space="preserve">, </w:t>
      </w:r>
      <w:r>
        <w:rPr>
          <w:rStyle w:val="Seitenzahl"/>
        </w:rPr>
        <w:t>soll</w:t>
      </w:r>
      <w:r w:rsidR="00DB4510">
        <w:rPr>
          <w:rStyle w:val="Seitenzahl"/>
        </w:rPr>
        <w:t xml:space="preserve"> auf Grundlage auszuarbeitender Pläne implem</w:t>
      </w:r>
      <w:r w:rsidR="00612E38">
        <w:rPr>
          <w:rStyle w:val="Seitenzahl"/>
        </w:rPr>
        <w:t>en</w:t>
      </w:r>
      <w:r w:rsidR="00DB4510">
        <w:rPr>
          <w:rStyle w:val="Seitenzahl"/>
        </w:rPr>
        <w:t>tierender Länder</w:t>
      </w:r>
      <w:r>
        <w:rPr>
          <w:rStyle w:val="Seitenzahl"/>
        </w:rPr>
        <w:t xml:space="preserve"> in </w:t>
      </w:r>
      <w:r w:rsidR="00DB4510">
        <w:rPr>
          <w:rStyle w:val="Seitenzahl"/>
        </w:rPr>
        <w:t xml:space="preserve">drei bis fünf </w:t>
      </w:r>
      <w:r>
        <w:rPr>
          <w:rStyle w:val="Seitenzahl"/>
        </w:rPr>
        <w:t xml:space="preserve">Jahren die konsolidierte EITI-Berichterstattung ersetzen. Dabei handelt es sich um Offenlegung der Daten, die bisher für EITI-Berichte durch einen unabhängigen Verwalter gesammelt und konsolidiert werden, durch existierende oder zu schaffende Berichtssysteme und Datenbanken, die für </w:t>
      </w:r>
      <w:r w:rsidR="00F41A20">
        <w:rPr>
          <w:rStyle w:val="Seitenzahl"/>
        </w:rPr>
        <w:t xml:space="preserve">die </w:t>
      </w:r>
      <w:r>
        <w:rPr>
          <w:rStyle w:val="Seitenzahl"/>
        </w:rPr>
        <w:t>breite Öffentlichkeit zugänglich sein müssen. So können Bürger jederzeit auf aktuelle Daten zugreifen; die Aktualität der Daten wird im Vergleich zu den Berichten, die in der Regel Daten von vor 1</w:t>
      </w:r>
      <w:r w:rsidR="00DB4510">
        <w:rPr>
          <w:rStyle w:val="Seitenzahl"/>
        </w:rPr>
        <w:t xml:space="preserve"> bis </w:t>
      </w:r>
      <w:r>
        <w:rPr>
          <w:rStyle w:val="Seitenzahl"/>
        </w:rPr>
        <w:t xml:space="preserve">2 Jahren beinhalten, gesteigert. Der finanzielle Aufwand für den EITI-Prozess wird langfristig deutlich sinken. </w:t>
      </w:r>
    </w:p>
    <w:p w14:paraId="27751EA6" w14:textId="77777777" w:rsidR="00874A62" w:rsidRDefault="00874A62" w:rsidP="001A64EB">
      <w:pPr>
        <w:spacing w:after="120" w:line="276" w:lineRule="auto"/>
        <w:jc w:val="both"/>
        <w:rPr>
          <w:rStyle w:val="Seitenzahl"/>
        </w:rPr>
      </w:pPr>
      <w:r>
        <w:rPr>
          <w:rStyle w:val="Seitenzahl"/>
        </w:rPr>
        <w:t>Während systematische Offenlegung bereits in vielen EITI-Ländern Realität ist, müssen in den meisten Ländern Strukturen dafür geschaffen werden, u.a. IT-Infrastruktur und notwendige Rechtsreformen. Dieser Prozess</w:t>
      </w:r>
      <w:r w:rsidR="0028657F">
        <w:rPr>
          <w:rStyle w:val="Seitenzahl"/>
        </w:rPr>
        <w:t xml:space="preserve"> </w:t>
      </w:r>
      <w:r>
        <w:rPr>
          <w:rStyle w:val="Seitenzahl"/>
        </w:rPr>
        <w:t xml:space="preserve">wird länger als </w:t>
      </w:r>
      <w:r w:rsidR="00DB4510">
        <w:rPr>
          <w:rStyle w:val="Seitenzahl"/>
        </w:rPr>
        <w:t xml:space="preserve">drei bis fünf </w:t>
      </w:r>
      <w:r>
        <w:rPr>
          <w:rStyle w:val="Seitenzahl"/>
        </w:rPr>
        <w:t xml:space="preserve">Jahre dauern und erfordert zusätzliche finanzielle Investitionen. Die Geber sind angehalten, die Reformen in den implementieren Ländern zu fördern. Alle Länder müssen bis zur Globalen Konferenz im Februar 2019 einen detaillierten Plan für die Umsetzung der Empfehlung vorlegen. </w:t>
      </w:r>
    </w:p>
    <w:p w14:paraId="53258731" w14:textId="77777777" w:rsidR="00C3690C" w:rsidRDefault="00C3690C" w:rsidP="001A64EB">
      <w:pPr>
        <w:spacing w:after="120" w:line="276" w:lineRule="auto"/>
        <w:jc w:val="both"/>
        <w:rPr>
          <w:rStyle w:val="Seitenzahl"/>
        </w:rPr>
      </w:pPr>
      <w:r>
        <w:rPr>
          <w:rStyle w:val="Seitenzahl"/>
        </w:rPr>
        <w:lastRenderedPageBreak/>
        <w:t xml:space="preserve">Offen bleiben die Rolle der Multi-Stakeholder-Struktur und vor allem die Aufsicht durch die Zivilgesellschaft. Die Empfehlung des Boards überlässt die Klärung dieser Fragen den nationalen Multi-Stakeholder-Gruppen. </w:t>
      </w:r>
    </w:p>
    <w:p w14:paraId="61C0482D" w14:textId="77777777" w:rsidR="00D334D6" w:rsidRDefault="00C3690C" w:rsidP="00D334D6">
      <w:pPr>
        <w:spacing w:after="120" w:line="276" w:lineRule="auto"/>
        <w:jc w:val="both"/>
        <w:rPr>
          <w:rStyle w:val="Seitenzahl"/>
        </w:rPr>
      </w:pPr>
      <w:r>
        <w:rPr>
          <w:rStyle w:val="Seitenzahl"/>
          <w:b/>
          <w:u w:val="single"/>
        </w:rPr>
        <w:t>Safeguard</w:t>
      </w:r>
      <w:r w:rsidR="0028657F">
        <w:rPr>
          <w:rStyle w:val="Seitenzahl"/>
          <w:b/>
          <w:u w:val="single"/>
        </w:rPr>
        <w:t>s</w:t>
      </w:r>
      <w:r>
        <w:rPr>
          <w:rStyle w:val="Seitenzahl"/>
          <w:b/>
          <w:u w:val="single"/>
        </w:rPr>
        <w:t xml:space="preserve"> policy review </w:t>
      </w:r>
    </w:p>
    <w:p w14:paraId="289DDD56" w14:textId="77777777" w:rsidR="00D334D6" w:rsidRDefault="00D334D6" w:rsidP="00D334D6">
      <w:pPr>
        <w:spacing w:after="120" w:line="276" w:lineRule="auto"/>
        <w:jc w:val="both"/>
        <w:rPr>
          <w:rStyle w:val="Seitenzahl"/>
        </w:rPr>
      </w:pPr>
      <w:r>
        <w:rPr>
          <w:rStyle w:val="Seitenzahl"/>
        </w:rPr>
        <w:t xml:space="preserve">Das </w:t>
      </w:r>
      <w:r w:rsidR="00965020">
        <w:rPr>
          <w:rStyle w:val="Seitenzahl"/>
        </w:rPr>
        <w:t>Implementierungskomitee hat eine Überarbeitung der Safeguard</w:t>
      </w:r>
      <w:r w:rsidR="0028657F">
        <w:rPr>
          <w:rStyle w:val="Seitenzahl"/>
        </w:rPr>
        <w:t>s</w:t>
      </w:r>
      <w:r w:rsidR="00965020">
        <w:rPr>
          <w:rStyle w:val="Seitenzahl"/>
        </w:rPr>
        <w:t xml:space="preserve">-Policy vorgeschlagen. Dabei geht um die Anwendung der verpflichtenden Anforderungen des EITI-Standards, die bei Nicht-Erfüllung </w:t>
      </w:r>
      <w:r w:rsidR="005513E8">
        <w:rPr>
          <w:rStyle w:val="Seitenzahl"/>
        </w:rPr>
        <w:t xml:space="preserve">automatisch </w:t>
      </w:r>
      <w:r w:rsidR="00965020">
        <w:rPr>
          <w:rStyle w:val="Seitenzahl"/>
        </w:rPr>
        <w:t xml:space="preserve">zur Suspendierung führen (Beteiligung der Zivilgesellschaft, der Regierungen und Unternehmen am EITI-Prozess). </w:t>
      </w:r>
      <w:r w:rsidR="00965020">
        <w:rPr>
          <w:rFonts w:cs="Arial"/>
        </w:rPr>
        <w:t>Die Erfahrungen aus der Implementierung der Policy zeigt,</w:t>
      </w:r>
      <w:r w:rsidR="00965020" w:rsidRPr="00ED3987">
        <w:rPr>
          <w:rFonts w:cs="Arial"/>
        </w:rPr>
        <w:t xml:space="preserve"> dass vor allem die</w:t>
      </w:r>
      <w:r w:rsidR="00D50BD1">
        <w:rPr>
          <w:rFonts w:cs="Arial"/>
        </w:rPr>
        <w:t xml:space="preserve"> rigorose und unflexible </w:t>
      </w:r>
      <w:r w:rsidR="00965020" w:rsidRPr="00ED3987">
        <w:rPr>
          <w:rFonts w:cs="Arial"/>
        </w:rPr>
        <w:t xml:space="preserve">Anwendung der Safeguards zur Beteiligung der Zivilgesellschaft (bzw. Behinderung durch die Regierung) </w:t>
      </w:r>
      <w:r w:rsidR="00D50BD1">
        <w:rPr>
          <w:rFonts w:cs="Arial"/>
        </w:rPr>
        <w:t>zu</w:t>
      </w:r>
      <w:r w:rsidR="00D50BD1" w:rsidRPr="00ED3987">
        <w:rPr>
          <w:rFonts w:cs="Arial"/>
        </w:rPr>
        <w:t xml:space="preserve"> </w:t>
      </w:r>
      <w:r w:rsidR="00965020" w:rsidRPr="00ED3987">
        <w:rPr>
          <w:rFonts w:cs="Arial"/>
        </w:rPr>
        <w:t>negative</w:t>
      </w:r>
      <w:r w:rsidR="00D50BD1">
        <w:rPr>
          <w:rFonts w:cs="Arial"/>
        </w:rPr>
        <w:t>n</w:t>
      </w:r>
      <w:r w:rsidR="00965020" w:rsidRPr="00ED3987">
        <w:rPr>
          <w:rFonts w:cs="Arial"/>
        </w:rPr>
        <w:t xml:space="preserve"> Konsequenzen </w:t>
      </w:r>
      <w:r w:rsidR="00D50BD1">
        <w:rPr>
          <w:rFonts w:cs="Arial"/>
        </w:rPr>
        <w:t>führen</w:t>
      </w:r>
      <w:r w:rsidR="00D50BD1" w:rsidRPr="00ED3987">
        <w:rPr>
          <w:rFonts w:cs="Arial"/>
        </w:rPr>
        <w:t xml:space="preserve"> </w:t>
      </w:r>
      <w:r w:rsidR="00965020" w:rsidRPr="00ED3987">
        <w:rPr>
          <w:rFonts w:cs="Arial"/>
        </w:rPr>
        <w:t xml:space="preserve">kann, wie in </w:t>
      </w:r>
      <w:r w:rsidR="005B1EFE">
        <w:rPr>
          <w:rFonts w:cs="Arial"/>
        </w:rPr>
        <w:t>NER</w:t>
      </w:r>
      <w:r w:rsidR="00965020" w:rsidRPr="00ED3987">
        <w:rPr>
          <w:rFonts w:cs="Arial"/>
        </w:rPr>
        <w:t xml:space="preserve"> und </w:t>
      </w:r>
      <w:r w:rsidR="005B1EFE">
        <w:rPr>
          <w:rFonts w:cs="Arial"/>
        </w:rPr>
        <w:t>AZE</w:t>
      </w:r>
      <w:r w:rsidR="00965020" w:rsidRPr="00ED3987">
        <w:rPr>
          <w:rFonts w:cs="Arial"/>
        </w:rPr>
        <w:t xml:space="preserve">. Nach </w:t>
      </w:r>
      <w:r w:rsidR="00D50BD1">
        <w:rPr>
          <w:rFonts w:cs="Arial"/>
        </w:rPr>
        <w:t>strikter Anwendung der Safeguard-Regeln wurden diese</w:t>
      </w:r>
      <w:r w:rsidR="00965020" w:rsidRPr="00ED3987">
        <w:rPr>
          <w:rFonts w:cs="Arial"/>
        </w:rPr>
        <w:t xml:space="preserve"> Länder </w:t>
      </w:r>
      <w:r w:rsidR="00D50BD1">
        <w:rPr>
          <w:rFonts w:cs="Arial"/>
        </w:rPr>
        <w:t xml:space="preserve">entsprechend den Regeln suspendiert, worauf sie ihrerseits mit dem Austritt </w:t>
      </w:r>
      <w:r w:rsidR="00965020" w:rsidRPr="00ED3987">
        <w:rPr>
          <w:rFonts w:cs="Arial"/>
        </w:rPr>
        <w:t xml:space="preserve">aus der EITI </w:t>
      </w:r>
      <w:r w:rsidR="00D50BD1">
        <w:rPr>
          <w:rFonts w:cs="Arial"/>
        </w:rPr>
        <w:t>reagierten</w:t>
      </w:r>
      <w:r w:rsidR="00965020" w:rsidRPr="00ED3987">
        <w:rPr>
          <w:rFonts w:cs="Arial"/>
        </w:rPr>
        <w:t xml:space="preserve">. Für die Zivilgesellschaft in diesen Ländern hat sich dadurch die Lage </w:t>
      </w:r>
      <w:r w:rsidR="00D50BD1">
        <w:rPr>
          <w:rFonts w:cs="Arial"/>
        </w:rPr>
        <w:t>weiter</w:t>
      </w:r>
      <w:r w:rsidR="00965020" w:rsidRPr="00ED3987">
        <w:rPr>
          <w:rFonts w:cs="Arial"/>
        </w:rPr>
        <w:t xml:space="preserve"> vers</w:t>
      </w:r>
      <w:r w:rsidR="00965020">
        <w:rPr>
          <w:rFonts w:cs="Arial"/>
        </w:rPr>
        <w:t>chärft.</w:t>
      </w:r>
      <w:r w:rsidR="00965020" w:rsidRPr="00ED3987">
        <w:rPr>
          <w:rFonts w:cs="Arial"/>
        </w:rPr>
        <w:t xml:space="preserve"> </w:t>
      </w:r>
      <w:r w:rsidR="00965020">
        <w:rPr>
          <w:rFonts w:cs="Arial"/>
        </w:rPr>
        <w:t>Dem Board wurde vorgeschlagen</w:t>
      </w:r>
      <w:r w:rsidR="00965020" w:rsidRPr="00ED3987">
        <w:rPr>
          <w:rFonts w:cs="Arial"/>
        </w:rPr>
        <w:t xml:space="preserve">, </w:t>
      </w:r>
      <w:r w:rsidR="00F41A20">
        <w:rPr>
          <w:rFonts w:cs="Arial"/>
        </w:rPr>
        <w:t>i</w:t>
      </w:r>
      <w:r w:rsidR="00D50BD1">
        <w:rPr>
          <w:rFonts w:cs="Arial"/>
        </w:rPr>
        <w:t xml:space="preserve">n Zukunft </w:t>
      </w:r>
      <w:r w:rsidR="00965020" w:rsidRPr="00ED3987">
        <w:rPr>
          <w:rFonts w:cs="Arial"/>
        </w:rPr>
        <w:t xml:space="preserve">über die Anwendung der Safeguards differenzierter und unter Einbeziehung aller Konsequenzen im Einzelfall </w:t>
      </w:r>
      <w:r w:rsidR="00CD2895">
        <w:rPr>
          <w:rFonts w:cs="Arial"/>
        </w:rPr>
        <w:t xml:space="preserve">zu </w:t>
      </w:r>
      <w:r w:rsidR="00D50BD1">
        <w:rPr>
          <w:rFonts w:cs="Arial"/>
        </w:rPr>
        <w:t xml:space="preserve">beraten und </w:t>
      </w:r>
      <w:r w:rsidR="00CD2895">
        <w:rPr>
          <w:rFonts w:cs="Arial"/>
        </w:rPr>
        <w:t xml:space="preserve">zu </w:t>
      </w:r>
      <w:r w:rsidR="00D50BD1">
        <w:rPr>
          <w:rFonts w:cs="Arial"/>
        </w:rPr>
        <w:t>entscheiden</w:t>
      </w:r>
      <w:r w:rsidR="00965020">
        <w:rPr>
          <w:rFonts w:cs="Arial"/>
        </w:rPr>
        <w:t xml:space="preserve">. Es konnte jedoch kein Konsens im Board erreicht werden; das Board hat das </w:t>
      </w:r>
      <w:r w:rsidR="00D50BD1">
        <w:rPr>
          <w:rFonts w:cs="Arial"/>
        </w:rPr>
        <w:t>Implementierungsk</w:t>
      </w:r>
      <w:r w:rsidR="00965020">
        <w:rPr>
          <w:rFonts w:cs="Arial"/>
        </w:rPr>
        <w:t xml:space="preserve">omitee damit beauftragt, konkrete Vorschläge für die Überarbeitung und </w:t>
      </w:r>
      <w:r w:rsidR="00D50BD1">
        <w:rPr>
          <w:rFonts w:cs="Arial"/>
        </w:rPr>
        <w:t xml:space="preserve">künftige </w:t>
      </w:r>
      <w:r w:rsidR="00965020">
        <w:rPr>
          <w:rFonts w:cs="Arial"/>
        </w:rPr>
        <w:t xml:space="preserve">Anwendung der Policy zu erarbeiten. </w:t>
      </w:r>
    </w:p>
    <w:p w14:paraId="4B40F0CD" w14:textId="77777777" w:rsidR="00B105D6" w:rsidRDefault="007961AA" w:rsidP="00612E38">
      <w:pPr>
        <w:spacing w:after="120" w:line="276" w:lineRule="auto"/>
        <w:jc w:val="both"/>
        <w:rPr>
          <w:rStyle w:val="Seitenzahl"/>
          <w:b/>
          <w:u w:val="single"/>
        </w:rPr>
      </w:pPr>
      <w:r>
        <w:rPr>
          <w:rStyle w:val="Seitenzahl"/>
          <w:b/>
          <w:u w:val="single"/>
        </w:rPr>
        <w:t xml:space="preserve">Validierung </w:t>
      </w:r>
      <w:r w:rsidR="005B1EFE">
        <w:rPr>
          <w:rStyle w:val="Seitenzahl"/>
          <w:b/>
          <w:u w:val="single"/>
        </w:rPr>
        <w:t>COG</w:t>
      </w:r>
    </w:p>
    <w:p w14:paraId="1562CA08" w14:textId="77777777" w:rsidR="00531590" w:rsidRDefault="001E342A" w:rsidP="001A64EB">
      <w:pPr>
        <w:spacing w:after="240" w:line="276" w:lineRule="auto"/>
        <w:jc w:val="both"/>
        <w:rPr>
          <w:rStyle w:val="Seitenzahl"/>
        </w:rPr>
      </w:pPr>
      <w:r>
        <w:rPr>
          <w:rStyle w:val="Seitenzahl"/>
        </w:rPr>
        <w:t xml:space="preserve">Die </w:t>
      </w:r>
      <w:r w:rsidR="00531590">
        <w:rPr>
          <w:rStyle w:val="Seitenzahl"/>
        </w:rPr>
        <w:t xml:space="preserve">2017 erfolgte </w:t>
      </w:r>
      <w:r>
        <w:rPr>
          <w:rStyle w:val="Seitenzahl"/>
        </w:rPr>
        <w:t xml:space="preserve">Validierung (Prüfung gegenüber dem EITI Standard) </w:t>
      </w:r>
      <w:r w:rsidR="007961AA">
        <w:rPr>
          <w:rStyle w:val="Seitenzahl"/>
        </w:rPr>
        <w:t xml:space="preserve">der </w:t>
      </w:r>
      <w:r w:rsidR="005B1EFE">
        <w:rPr>
          <w:rStyle w:val="Seitenzahl"/>
        </w:rPr>
        <w:t>COG</w:t>
      </w:r>
      <w:r w:rsidR="007961AA">
        <w:rPr>
          <w:rStyle w:val="Seitenzahl"/>
        </w:rPr>
        <w:t xml:space="preserve"> </w:t>
      </w:r>
      <w:r w:rsidR="00531590">
        <w:rPr>
          <w:rStyle w:val="Seitenzahl"/>
        </w:rPr>
        <w:t xml:space="preserve">hat </w:t>
      </w:r>
      <w:r w:rsidR="007961AA">
        <w:rPr>
          <w:rStyle w:val="Seitenzahl"/>
        </w:rPr>
        <w:t>dem Land „bedeutsamen Fortschritt“ bescheinigt.</w:t>
      </w:r>
      <w:r>
        <w:rPr>
          <w:rStyle w:val="Seitenzahl"/>
        </w:rPr>
        <w:t xml:space="preserve"> </w:t>
      </w:r>
      <w:r w:rsidR="000231DE">
        <w:rPr>
          <w:rStyle w:val="Seitenzahl"/>
        </w:rPr>
        <w:t>Dennoch ist e</w:t>
      </w:r>
      <w:r>
        <w:rPr>
          <w:rStyle w:val="Seitenzahl"/>
        </w:rPr>
        <w:t>in verpflichtendes Kriterium</w:t>
      </w:r>
      <w:r w:rsidR="00533CF9">
        <w:rPr>
          <w:rStyle w:val="Seitenzahl"/>
        </w:rPr>
        <w:t xml:space="preserve"> (</w:t>
      </w:r>
      <w:r w:rsidRPr="00696A42">
        <w:rPr>
          <w:rStyle w:val="Seitenzahl"/>
          <w:b/>
        </w:rPr>
        <w:t>Beteiligung der Zivilgesellschaft</w:t>
      </w:r>
      <w:r w:rsidR="00533CF9">
        <w:rPr>
          <w:rStyle w:val="Seitenzahl"/>
          <w:b/>
        </w:rPr>
        <w:t xml:space="preserve">) </w:t>
      </w:r>
      <w:r>
        <w:rPr>
          <w:rStyle w:val="Seitenzahl"/>
        </w:rPr>
        <w:t xml:space="preserve">in </w:t>
      </w:r>
      <w:r w:rsidR="007961AA">
        <w:rPr>
          <w:rStyle w:val="Seitenzahl"/>
        </w:rPr>
        <w:t xml:space="preserve">der </w:t>
      </w:r>
      <w:r w:rsidR="005B1EFE">
        <w:rPr>
          <w:rStyle w:val="Seitenzahl"/>
        </w:rPr>
        <w:t>COG</w:t>
      </w:r>
      <w:r>
        <w:rPr>
          <w:rStyle w:val="Seitenzahl"/>
        </w:rPr>
        <w:t xml:space="preserve"> nicht ausreichend erfüllt. Dieses Kriterium fällt unter so genannte </w:t>
      </w:r>
      <w:r w:rsidRPr="000231DE">
        <w:rPr>
          <w:rStyle w:val="Seitenzahl"/>
        </w:rPr>
        <w:t xml:space="preserve">„Safeguards“- </w:t>
      </w:r>
      <w:r>
        <w:rPr>
          <w:rStyle w:val="Seitenzahl"/>
        </w:rPr>
        <w:t xml:space="preserve">Kriterien, deren Nichterfüllung </w:t>
      </w:r>
      <w:r w:rsidR="00533CF9">
        <w:rPr>
          <w:rStyle w:val="Seitenzahl"/>
        </w:rPr>
        <w:t xml:space="preserve">(hier aufgrund des COG Regierungshandelns) </w:t>
      </w:r>
      <w:r>
        <w:rPr>
          <w:rStyle w:val="Seitenzahl"/>
        </w:rPr>
        <w:t xml:space="preserve">zur </w:t>
      </w:r>
      <w:r w:rsidR="000231DE">
        <w:rPr>
          <w:rStyle w:val="Seitenzahl"/>
        </w:rPr>
        <w:t xml:space="preserve">automatischen </w:t>
      </w:r>
      <w:r>
        <w:rPr>
          <w:rStyle w:val="Seitenzahl"/>
        </w:rPr>
        <w:t xml:space="preserve">Suspendierung führt. </w:t>
      </w:r>
      <w:r w:rsidR="000231DE">
        <w:rPr>
          <w:rStyle w:val="Seitenzahl"/>
        </w:rPr>
        <w:t xml:space="preserve">Das Implementierungskomitee hat daher die Suspendierung empfohlen. Im Vorfeld der Entscheidung im Board haben die Vertreter der kongolesischen Zivilgesellschaft um Corrective actions ohne Suspendierung gebeten, da eine Suspendierung den EITI-Prozess im Land gefährden würde. Dieser Fall illustriert erneut die Konsequenzen der Anwendung von Safeguards-Policy (s.o.). </w:t>
      </w:r>
      <w:r>
        <w:rPr>
          <w:rStyle w:val="Seitenzahl"/>
        </w:rPr>
        <w:t xml:space="preserve">Nach einer Debatte im Vorstand wurde der Beschluss gefasst, </w:t>
      </w:r>
      <w:r w:rsidR="000231DE">
        <w:rPr>
          <w:rStyle w:val="Seitenzahl"/>
        </w:rPr>
        <w:t xml:space="preserve">die Entscheidung über den Status </w:t>
      </w:r>
      <w:r w:rsidR="005B1EFE">
        <w:rPr>
          <w:rStyle w:val="Seitenzahl"/>
        </w:rPr>
        <w:t>von COG</w:t>
      </w:r>
      <w:r w:rsidR="000231DE">
        <w:rPr>
          <w:rStyle w:val="Seitenzahl"/>
        </w:rPr>
        <w:t xml:space="preserve"> zu vertagen, bis </w:t>
      </w:r>
      <w:r w:rsidR="00D50BD1">
        <w:rPr>
          <w:rStyle w:val="Seitenzahl"/>
        </w:rPr>
        <w:t>eine</w:t>
      </w:r>
      <w:r w:rsidR="000231DE">
        <w:rPr>
          <w:rStyle w:val="Seitenzahl"/>
        </w:rPr>
        <w:t xml:space="preserve"> neue Empfehlung des Implementierungskomitees über die Anwendung der Safeguards-Policy</w:t>
      </w:r>
      <w:r w:rsidR="00D50BD1">
        <w:rPr>
          <w:rStyle w:val="Seitenzahl"/>
        </w:rPr>
        <w:t xml:space="preserve"> vorliegt, die dann Basis der Entscheidung sein soll</w:t>
      </w:r>
      <w:r w:rsidR="000231DE">
        <w:rPr>
          <w:rStyle w:val="Seitenzahl"/>
        </w:rPr>
        <w:t xml:space="preserve">. </w:t>
      </w:r>
    </w:p>
    <w:p w14:paraId="09ED5B6B" w14:textId="77777777" w:rsidR="00531590" w:rsidRPr="00531590" w:rsidRDefault="000231DE" w:rsidP="00612E38">
      <w:pPr>
        <w:spacing w:after="120" w:line="276" w:lineRule="auto"/>
        <w:jc w:val="both"/>
        <w:rPr>
          <w:rStyle w:val="Seitenzahl"/>
          <w:b/>
          <w:u w:val="single"/>
        </w:rPr>
      </w:pPr>
      <w:r>
        <w:rPr>
          <w:rStyle w:val="Seitenzahl"/>
          <w:b/>
          <w:u w:val="single"/>
        </w:rPr>
        <w:t>Weitere Validierungen und Suspendierungen</w:t>
      </w:r>
    </w:p>
    <w:p w14:paraId="71D8C86C" w14:textId="77777777" w:rsidR="00531590" w:rsidRDefault="000231DE" w:rsidP="00531590">
      <w:pPr>
        <w:spacing w:after="240" w:line="276" w:lineRule="auto"/>
        <w:jc w:val="both"/>
        <w:rPr>
          <w:rStyle w:val="Seitenzahl"/>
        </w:rPr>
      </w:pPr>
      <w:r>
        <w:rPr>
          <w:rStyle w:val="Seitenzahl"/>
        </w:rPr>
        <w:t>Über folgende Validierungen wurde in Oslo entschieden:</w:t>
      </w:r>
    </w:p>
    <w:p w14:paraId="248DCC0D" w14:textId="77777777" w:rsidR="000231DE" w:rsidRPr="00466106" w:rsidRDefault="005B1EFE" w:rsidP="00466106">
      <w:pPr>
        <w:pStyle w:val="Listenabsatz"/>
        <w:numPr>
          <w:ilvl w:val="0"/>
          <w:numId w:val="12"/>
        </w:numPr>
        <w:spacing w:line="276" w:lineRule="auto"/>
        <w:jc w:val="both"/>
      </w:pPr>
      <w:r>
        <w:t>ALB</w:t>
      </w:r>
      <w:r w:rsidRPr="00466106">
        <w:t xml:space="preserve"> </w:t>
      </w:r>
      <w:r w:rsidR="000231DE" w:rsidRPr="00466106">
        <w:t>(bedeutsamer Fortschritt)</w:t>
      </w:r>
    </w:p>
    <w:p w14:paraId="6ED9C917" w14:textId="77777777" w:rsidR="000231DE" w:rsidRPr="00466106" w:rsidRDefault="005B1EFE" w:rsidP="00466106">
      <w:pPr>
        <w:pStyle w:val="Listenabsatz"/>
        <w:numPr>
          <w:ilvl w:val="0"/>
          <w:numId w:val="12"/>
        </w:numPr>
        <w:spacing w:line="276" w:lineRule="auto"/>
        <w:jc w:val="both"/>
      </w:pPr>
      <w:r>
        <w:t>BFA</w:t>
      </w:r>
      <w:r w:rsidR="000231DE" w:rsidRPr="00466106">
        <w:t xml:space="preserve"> (bedeutsamer Fortschritt)</w:t>
      </w:r>
    </w:p>
    <w:p w14:paraId="3404644D" w14:textId="77777777" w:rsidR="000231DE" w:rsidRPr="00466106" w:rsidRDefault="005B1EFE" w:rsidP="00466106">
      <w:pPr>
        <w:pStyle w:val="Listenabsatz"/>
        <w:numPr>
          <w:ilvl w:val="0"/>
          <w:numId w:val="12"/>
        </w:numPr>
        <w:spacing w:line="276" w:lineRule="auto"/>
        <w:jc w:val="both"/>
      </w:pPr>
      <w:r>
        <w:t>CMR</w:t>
      </w:r>
      <w:r w:rsidRPr="00466106">
        <w:t xml:space="preserve"> </w:t>
      </w:r>
      <w:r w:rsidR="000231DE" w:rsidRPr="00466106">
        <w:t>(bedeutsamer Fortschritt)</w:t>
      </w:r>
    </w:p>
    <w:p w14:paraId="2788BC02" w14:textId="77777777" w:rsidR="000231DE" w:rsidRPr="00466106" w:rsidRDefault="005B1EFE" w:rsidP="00466106">
      <w:pPr>
        <w:pStyle w:val="Listenabsatz"/>
        <w:numPr>
          <w:ilvl w:val="0"/>
          <w:numId w:val="12"/>
        </w:numPr>
        <w:spacing w:line="276" w:lineRule="auto"/>
        <w:jc w:val="both"/>
      </w:pPr>
      <w:r>
        <w:t>KAZ</w:t>
      </w:r>
      <w:r w:rsidRPr="00466106">
        <w:t xml:space="preserve"> </w:t>
      </w:r>
      <w:r w:rsidR="000231DE" w:rsidRPr="00466106">
        <w:t>(bedeutsamer Fortschritt</w:t>
      </w:r>
      <w:r w:rsidR="0028657F">
        <w:t>)</w:t>
      </w:r>
      <w:r w:rsidR="00533CF9">
        <w:t xml:space="preserve">: </w:t>
      </w:r>
      <w:r w:rsidR="0028657F">
        <w:t xml:space="preserve">dazu </w:t>
      </w:r>
      <w:r w:rsidR="00466106">
        <w:t>gab es im Board auf Antrag der Vertreter der Zivilgesellschaft eine Debatte über die Lage der Zivilgesellschaft im Land, die aus ihrer Sicht im EITI-Prozess durch die Regierung behindert w</w:t>
      </w:r>
      <w:r w:rsidR="00D50BD1">
        <w:t>ird</w:t>
      </w:r>
      <w:r w:rsidR="00466106">
        <w:t>. Dennoch wurde die Entscheidung</w:t>
      </w:r>
      <w:r w:rsidR="00533CF9">
        <w:t xml:space="preserve"> („bedeutsamer Fortschritt“)</w:t>
      </w:r>
      <w:r w:rsidR="00466106">
        <w:t xml:space="preserve"> mit Hinweis auf die Überarbeitung der Safeguards-Policy getroffen.  </w:t>
      </w:r>
    </w:p>
    <w:p w14:paraId="43A170FE" w14:textId="77777777" w:rsidR="000231DE" w:rsidRPr="00466106" w:rsidRDefault="005B1EFE" w:rsidP="00466106">
      <w:pPr>
        <w:pStyle w:val="Listenabsatz"/>
        <w:numPr>
          <w:ilvl w:val="0"/>
          <w:numId w:val="12"/>
        </w:numPr>
        <w:spacing w:line="276" w:lineRule="auto"/>
        <w:jc w:val="both"/>
      </w:pPr>
      <w:r>
        <w:t xml:space="preserve">MNG </w:t>
      </w:r>
      <w:r w:rsidR="000231DE" w:rsidRPr="00466106">
        <w:t>(zufriedenstellender Fortschritt)</w:t>
      </w:r>
    </w:p>
    <w:p w14:paraId="23789911" w14:textId="77777777" w:rsidR="000231DE" w:rsidRPr="00466106" w:rsidRDefault="005B1EFE" w:rsidP="00466106">
      <w:pPr>
        <w:pStyle w:val="Listenabsatz"/>
        <w:numPr>
          <w:ilvl w:val="0"/>
          <w:numId w:val="12"/>
        </w:numPr>
        <w:spacing w:line="276" w:lineRule="auto"/>
        <w:jc w:val="both"/>
      </w:pPr>
      <w:r>
        <w:lastRenderedPageBreak/>
        <w:t>SEN</w:t>
      </w:r>
      <w:r w:rsidRPr="00466106">
        <w:t xml:space="preserve"> </w:t>
      </w:r>
      <w:r w:rsidR="000231DE" w:rsidRPr="00466106">
        <w:t>(bedeutsamer Fortschritt)</w:t>
      </w:r>
    </w:p>
    <w:p w14:paraId="6494DE04" w14:textId="77777777" w:rsidR="000231DE" w:rsidRPr="00C9254B" w:rsidRDefault="005B1EFE" w:rsidP="00466106">
      <w:pPr>
        <w:pStyle w:val="Listenabsatz"/>
        <w:numPr>
          <w:ilvl w:val="0"/>
          <w:numId w:val="12"/>
        </w:numPr>
        <w:spacing w:line="276" w:lineRule="auto"/>
        <w:jc w:val="both"/>
      </w:pPr>
      <w:r w:rsidRPr="00C9254B">
        <w:t>TLS</w:t>
      </w:r>
      <w:r w:rsidR="000231DE" w:rsidRPr="00C9254B">
        <w:t xml:space="preserve"> </w:t>
      </w:r>
      <w:r w:rsidR="00466106" w:rsidRPr="00C9254B">
        <w:t>(</w:t>
      </w:r>
      <w:r w:rsidR="000231DE" w:rsidRPr="00466106">
        <w:t>zufriedenstellender Fortschritt</w:t>
      </w:r>
      <w:r w:rsidR="00C9254B">
        <w:t>- die bestmögliche Bewertung</w:t>
      </w:r>
      <w:r w:rsidR="000231DE" w:rsidRPr="00466106">
        <w:t>)</w:t>
      </w:r>
    </w:p>
    <w:p w14:paraId="3E162C2D" w14:textId="77777777" w:rsidR="000231DE" w:rsidRDefault="005B1EFE" w:rsidP="00466106">
      <w:pPr>
        <w:pStyle w:val="Listenabsatz"/>
        <w:numPr>
          <w:ilvl w:val="0"/>
          <w:numId w:val="12"/>
        </w:numPr>
        <w:spacing w:line="276" w:lineRule="auto"/>
        <w:jc w:val="both"/>
      </w:pPr>
      <w:r>
        <w:t>TGO</w:t>
      </w:r>
      <w:r w:rsidRPr="00466106">
        <w:t xml:space="preserve"> </w:t>
      </w:r>
      <w:r w:rsidR="000231DE" w:rsidRPr="00466106">
        <w:t>(bedeutsamer Fortschritt)</w:t>
      </w:r>
    </w:p>
    <w:p w14:paraId="73A98353" w14:textId="77777777" w:rsidR="00004240" w:rsidRPr="00466106" w:rsidRDefault="00004240" w:rsidP="00004240">
      <w:pPr>
        <w:spacing w:line="276" w:lineRule="auto"/>
        <w:jc w:val="both"/>
      </w:pPr>
      <w:r w:rsidRPr="00004240">
        <w:rPr>
          <w:b/>
        </w:rPr>
        <w:t>H</w:t>
      </w:r>
      <w:r>
        <w:rPr>
          <w:b/>
        </w:rPr>
        <w:t>ND</w:t>
      </w:r>
      <w:r>
        <w:t xml:space="preserve"> wurde aufgrund von versäumter Frist für Berichterstattung </w:t>
      </w:r>
      <w:r w:rsidRPr="00004240">
        <w:rPr>
          <w:b/>
        </w:rPr>
        <w:t>suspendiert</w:t>
      </w:r>
      <w:r>
        <w:t>.</w:t>
      </w:r>
    </w:p>
    <w:p w14:paraId="49200435" w14:textId="77777777" w:rsidR="00065D8F" w:rsidRDefault="00065D8F" w:rsidP="00853BAA">
      <w:pPr>
        <w:jc w:val="both"/>
        <w:rPr>
          <w:rFonts w:cs="Arial"/>
        </w:rPr>
      </w:pPr>
    </w:p>
    <w:p w14:paraId="6C4E453C" w14:textId="77777777" w:rsidR="00527BC8" w:rsidRPr="0028657F" w:rsidRDefault="00527BC8" w:rsidP="00853BAA">
      <w:pPr>
        <w:jc w:val="both"/>
        <w:rPr>
          <w:rFonts w:cs="Arial"/>
          <w:b/>
          <w:u w:val="single"/>
        </w:rPr>
      </w:pPr>
      <w:r w:rsidRPr="0028657F">
        <w:rPr>
          <w:rFonts w:cs="Arial"/>
          <w:b/>
          <w:u w:val="single"/>
        </w:rPr>
        <w:t>Beteiligung der US-Unternehmen am EITI-Prozess</w:t>
      </w:r>
    </w:p>
    <w:p w14:paraId="11C302CA" w14:textId="77777777" w:rsidR="00527BC8" w:rsidRPr="0028657F" w:rsidRDefault="00527BC8" w:rsidP="00853BAA">
      <w:pPr>
        <w:jc w:val="both"/>
        <w:rPr>
          <w:rFonts w:cs="Arial"/>
        </w:rPr>
      </w:pPr>
    </w:p>
    <w:p w14:paraId="014EB9C2" w14:textId="77777777" w:rsidR="00527BC8" w:rsidRDefault="00527BC8" w:rsidP="00C9254B">
      <w:pPr>
        <w:spacing w:line="276" w:lineRule="auto"/>
        <w:jc w:val="both"/>
        <w:rPr>
          <w:rFonts w:cs="Arial"/>
        </w:rPr>
      </w:pPr>
      <w:r w:rsidRPr="0028657F">
        <w:rPr>
          <w:rFonts w:cs="Arial"/>
        </w:rPr>
        <w:t>Die zivilgesellschaftliche Koalition Publish What You Pay (PWYP) hat sich</w:t>
      </w:r>
      <w:r w:rsidR="00814DAD" w:rsidRPr="00814DAD">
        <w:rPr>
          <w:rFonts w:cs="Arial"/>
        </w:rPr>
        <w:t xml:space="preserve"> </w:t>
      </w:r>
      <w:r w:rsidR="00814DAD" w:rsidRPr="0028657F">
        <w:rPr>
          <w:rFonts w:cs="Arial"/>
        </w:rPr>
        <w:t xml:space="preserve">mit einem </w:t>
      </w:r>
      <w:hyperlink r:id="rId8" w:history="1">
        <w:r w:rsidR="00814DAD" w:rsidRPr="0028657F">
          <w:rPr>
            <w:rStyle w:val="Hyperlink"/>
            <w:rFonts w:cs="Arial"/>
          </w:rPr>
          <w:t>offenen Brief</w:t>
        </w:r>
      </w:hyperlink>
      <w:r w:rsidRPr="0028657F">
        <w:rPr>
          <w:rFonts w:cs="Arial"/>
        </w:rPr>
        <w:t xml:space="preserve"> an den Vorsitzenden der EITI, Fredrik Reinfeldt, gewandt. Sie fordern den Ausschluss der Vertreter von ExxonMobil und Chevron, beide führende US-Rohstoffkonzerne, aus dem EITI-Board. Der Grund dafür sind Lobby-Aktivitäten dieser Unternehmen, die möglicherweise zum Aussetzen des </w:t>
      </w:r>
      <w:r w:rsidR="00853BAA" w:rsidRPr="0028657F">
        <w:rPr>
          <w:rFonts w:cs="Arial"/>
        </w:rPr>
        <w:t xml:space="preserve">Absatzes 1504 des </w:t>
      </w:r>
      <w:r w:rsidRPr="0028657F">
        <w:rPr>
          <w:rFonts w:cs="Arial"/>
        </w:rPr>
        <w:t xml:space="preserve">Dodd-Frank Aktes </w:t>
      </w:r>
      <w:r w:rsidR="00853BAA" w:rsidRPr="0028657F">
        <w:rPr>
          <w:rFonts w:cs="Arial"/>
        </w:rPr>
        <w:t xml:space="preserve">(Offenlegung der Steuerdaten) </w:t>
      </w:r>
      <w:r w:rsidRPr="0028657F">
        <w:rPr>
          <w:rFonts w:cs="Arial"/>
        </w:rPr>
        <w:t xml:space="preserve">geführt haben, und somit den EITI-Prozess in den USA untergraben haben. </w:t>
      </w:r>
      <w:r w:rsidR="00853BAA" w:rsidRPr="0028657F">
        <w:rPr>
          <w:rFonts w:cs="Arial"/>
        </w:rPr>
        <w:t xml:space="preserve">USA </w:t>
      </w:r>
      <w:r w:rsidR="00D16CD6">
        <w:rPr>
          <w:rFonts w:cs="Arial"/>
        </w:rPr>
        <w:t>sind</w:t>
      </w:r>
      <w:r w:rsidR="00D16CD6" w:rsidRPr="0028657F">
        <w:rPr>
          <w:rFonts w:cs="Arial"/>
        </w:rPr>
        <w:t xml:space="preserve"> </w:t>
      </w:r>
      <w:r w:rsidR="00853BAA" w:rsidRPr="0028657F">
        <w:rPr>
          <w:rFonts w:cs="Arial"/>
        </w:rPr>
        <w:t xml:space="preserve">2017 aus der EITI ausgetreten. </w:t>
      </w:r>
      <w:r w:rsidRPr="0028657F">
        <w:rPr>
          <w:rFonts w:cs="Arial"/>
        </w:rPr>
        <w:t xml:space="preserve">Das Board hat das Governance-Komitee mit </w:t>
      </w:r>
      <w:r w:rsidR="0028657F" w:rsidRPr="0028657F">
        <w:rPr>
          <w:rFonts w:cs="Arial"/>
        </w:rPr>
        <w:t xml:space="preserve">der Aufarbeitung </w:t>
      </w:r>
      <w:r w:rsidRPr="0028657F">
        <w:rPr>
          <w:rFonts w:cs="Arial"/>
        </w:rPr>
        <w:t>diese</w:t>
      </w:r>
      <w:r w:rsidR="00D16CD6">
        <w:rPr>
          <w:rFonts w:cs="Arial"/>
        </w:rPr>
        <w:t>s</w:t>
      </w:r>
      <w:r w:rsidRPr="0028657F">
        <w:rPr>
          <w:rFonts w:cs="Arial"/>
        </w:rPr>
        <w:t xml:space="preserve"> Fall</w:t>
      </w:r>
      <w:r w:rsidR="00D16CD6">
        <w:rPr>
          <w:rFonts w:cs="Arial"/>
        </w:rPr>
        <w:t>s</w:t>
      </w:r>
      <w:r w:rsidRPr="0028657F">
        <w:rPr>
          <w:rFonts w:cs="Arial"/>
        </w:rPr>
        <w:t xml:space="preserve"> beauftragt.</w:t>
      </w:r>
      <w:r>
        <w:rPr>
          <w:rFonts w:cs="Arial"/>
        </w:rPr>
        <w:t xml:space="preserve"> </w:t>
      </w:r>
    </w:p>
    <w:p w14:paraId="4438E7B2" w14:textId="77777777" w:rsidR="00527BC8" w:rsidRDefault="00527BC8" w:rsidP="00065D8F">
      <w:pPr>
        <w:rPr>
          <w:rFonts w:cs="Arial"/>
        </w:rPr>
      </w:pPr>
    </w:p>
    <w:p w14:paraId="561D758D" w14:textId="77777777" w:rsidR="0039484D" w:rsidRPr="0039484D" w:rsidRDefault="00004240" w:rsidP="001A64EB">
      <w:pPr>
        <w:spacing w:after="120" w:line="276" w:lineRule="auto"/>
        <w:jc w:val="both"/>
        <w:rPr>
          <w:rStyle w:val="Seitenzahl"/>
          <w:u w:val="single"/>
        </w:rPr>
      </w:pPr>
      <w:r>
        <w:rPr>
          <w:rStyle w:val="Seitenzahl"/>
          <w:b/>
          <w:u w:val="single"/>
        </w:rPr>
        <w:t>Personelle Veränderungen</w:t>
      </w:r>
    </w:p>
    <w:p w14:paraId="43337804" w14:textId="053126F9" w:rsidR="000B32B7" w:rsidRDefault="00004240" w:rsidP="001A64EB">
      <w:pPr>
        <w:spacing w:line="276" w:lineRule="auto"/>
        <w:jc w:val="both"/>
        <w:rPr>
          <w:rStyle w:val="Seitenzahl"/>
        </w:rPr>
      </w:pPr>
      <w:r>
        <w:rPr>
          <w:rStyle w:val="Seitenzahl"/>
        </w:rPr>
        <w:t xml:space="preserve">Der Vorsitzende der Initiative, Fredrik Reinfeldt, hat das Board darüber informiert, dass er keine weitere Amtszeit anstreben wird. Somit </w:t>
      </w:r>
      <w:r w:rsidR="002B6F60">
        <w:rPr>
          <w:rStyle w:val="Seitenzahl"/>
        </w:rPr>
        <w:t>werden er sowie</w:t>
      </w:r>
      <w:r>
        <w:rPr>
          <w:rStyle w:val="Seitenzahl"/>
        </w:rPr>
        <w:t xml:space="preserve"> Sekretariatsleiter Jonas Moberg</w:t>
      </w:r>
      <w:r w:rsidR="002B6F60">
        <w:rPr>
          <w:rStyle w:val="Seitenzahl"/>
        </w:rPr>
        <w:t xml:space="preserve"> zeitnah das Sekretariat verlassen</w:t>
      </w:r>
      <w:r>
        <w:rPr>
          <w:rStyle w:val="Seitenzahl"/>
        </w:rPr>
        <w:t xml:space="preserve">. </w:t>
      </w:r>
      <w:r w:rsidR="00F41A20">
        <w:rPr>
          <w:rStyle w:val="Seitenzahl"/>
        </w:rPr>
        <w:t>In der sich anschließenden Diskussion des Boards</w:t>
      </w:r>
      <w:r w:rsidR="003F2933">
        <w:rPr>
          <w:rStyle w:val="Seitenzahl"/>
        </w:rPr>
        <w:t xml:space="preserve"> wurde darauf hingewiesen, dass der Weg</w:t>
      </w:r>
      <w:r w:rsidR="00CC2197">
        <w:rPr>
          <w:rStyle w:val="Seitenzahl"/>
        </w:rPr>
        <w:t xml:space="preserve">gang </w:t>
      </w:r>
      <w:r w:rsidR="00CD2895">
        <w:rPr>
          <w:rStyle w:val="Seitenzahl"/>
        </w:rPr>
        <w:t>b</w:t>
      </w:r>
      <w:r w:rsidR="003F2933">
        <w:rPr>
          <w:rStyle w:val="Seitenzahl"/>
        </w:rPr>
        <w:t xml:space="preserve">eider </w:t>
      </w:r>
      <w:r w:rsidR="00CD2895">
        <w:rPr>
          <w:rStyle w:val="Seitenzahl"/>
        </w:rPr>
        <w:t xml:space="preserve">möglichst </w:t>
      </w:r>
      <w:r w:rsidR="003F2933">
        <w:rPr>
          <w:rStyle w:val="Seitenzahl"/>
        </w:rPr>
        <w:t>nicht zeitgleich erfolgen solle.</w:t>
      </w:r>
      <w:r w:rsidR="00F41A20">
        <w:rPr>
          <w:rStyle w:val="Seitenzahl"/>
        </w:rPr>
        <w:t xml:space="preserve"> </w:t>
      </w:r>
      <w:r>
        <w:rPr>
          <w:rStyle w:val="Seitenzahl"/>
        </w:rPr>
        <w:t>D</w:t>
      </w:r>
      <w:r w:rsidR="00CD2895">
        <w:rPr>
          <w:rStyle w:val="Seitenzahl"/>
        </w:rPr>
        <w:t>ie</w:t>
      </w:r>
      <w:r>
        <w:rPr>
          <w:rStyle w:val="Seitenzahl"/>
        </w:rPr>
        <w:t xml:space="preserve"> Nachfolger soll von den </w:t>
      </w:r>
      <w:r w:rsidR="00527BC8">
        <w:rPr>
          <w:rStyle w:val="Seitenzahl"/>
        </w:rPr>
        <w:t>Stimmrechtsgruppen</w:t>
      </w:r>
      <w:r>
        <w:rPr>
          <w:rStyle w:val="Seitenzahl"/>
        </w:rPr>
        <w:t xml:space="preserve"> nominiert und auf der Globalen Konferenz im Frühjahr 2019 gewählt werden. </w:t>
      </w:r>
      <w:r w:rsidR="009C2145">
        <w:rPr>
          <w:rStyle w:val="Seitenzahl"/>
        </w:rPr>
        <w:t xml:space="preserve">Mit der Frage der Nachfolge von Jonas Moberg beschäftigt sich </w:t>
      </w:r>
      <w:r w:rsidR="00612E38">
        <w:rPr>
          <w:rStyle w:val="Seitenzahl"/>
        </w:rPr>
        <w:t>ein</w:t>
      </w:r>
      <w:r w:rsidR="009C2145">
        <w:rPr>
          <w:rStyle w:val="Seitenzahl"/>
        </w:rPr>
        <w:t xml:space="preserve"> Nominierungskomitee</w:t>
      </w:r>
      <w:r w:rsidR="00612E38">
        <w:rPr>
          <w:rStyle w:val="Seitenzahl"/>
        </w:rPr>
        <w:t>, das sich derzeit konstituiert</w:t>
      </w:r>
      <w:r w:rsidR="009C2145">
        <w:rPr>
          <w:rStyle w:val="Seitenzahl"/>
        </w:rPr>
        <w:t xml:space="preserve">. </w:t>
      </w:r>
    </w:p>
    <w:p w14:paraId="28900A78" w14:textId="77777777" w:rsidR="00004240" w:rsidRPr="00853BAA" w:rsidRDefault="00004240" w:rsidP="001A64EB">
      <w:pPr>
        <w:spacing w:line="276" w:lineRule="auto"/>
        <w:jc w:val="both"/>
        <w:rPr>
          <w:rStyle w:val="Seitenzahl"/>
          <w:u w:val="single"/>
        </w:rPr>
      </w:pPr>
    </w:p>
    <w:p w14:paraId="38EE6F57" w14:textId="77777777" w:rsidR="001A64EB" w:rsidRPr="00853BAA" w:rsidRDefault="00853BAA" w:rsidP="001A64EB">
      <w:pPr>
        <w:spacing w:line="276" w:lineRule="auto"/>
        <w:jc w:val="both"/>
        <w:rPr>
          <w:rStyle w:val="Seitenzahl"/>
          <w:b/>
          <w:u w:val="single"/>
        </w:rPr>
      </w:pPr>
      <w:r w:rsidRPr="00853BAA">
        <w:rPr>
          <w:rStyle w:val="Seitenzahl"/>
          <w:b/>
          <w:u w:val="single"/>
        </w:rPr>
        <w:t>Nächstes Boardmeeting</w:t>
      </w:r>
    </w:p>
    <w:p w14:paraId="2E323CF7" w14:textId="77777777" w:rsidR="00853BAA" w:rsidRDefault="00853BAA" w:rsidP="001A64EB">
      <w:pPr>
        <w:spacing w:line="276" w:lineRule="auto"/>
        <w:jc w:val="both"/>
        <w:rPr>
          <w:rStyle w:val="Seitenzahl"/>
        </w:rPr>
      </w:pPr>
    </w:p>
    <w:p w14:paraId="585999D5" w14:textId="77777777" w:rsidR="00853BAA" w:rsidRDefault="00853BAA" w:rsidP="00C911A7">
      <w:pPr>
        <w:spacing w:line="276" w:lineRule="auto"/>
        <w:jc w:val="both"/>
        <w:rPr>
          <w:rStyle w:val="Seitenzahl"/>
        </w:rPr>
      </w:pPr>
      <w:r>
        <w:rPr>
          <w:rStyle w:val="Seitenzahl"/>
        </w:rPr>
        <w:t>Das nächste Board</w:t>
      </w:r>
      <w:r w:rsidR="00F21A43">
        <w:rPr>
          <w:rStyle w:val="Seitenzahl"/>
        </w:rPr>
        <w:t xml:space="preserve"> M</w:t>
      </w:r>
      <w:r>
        <w:rPr>
          <w:rStyle w:val="Seitenzahl"/>
        </w:rPr>
        <w:t xml:space="preserve">eeting </w:t>
      </w:r>
      <w:r w:rsidR="00F21A43">
        <w:rPr>
          <w:rStyle w:val="Seitenzahl"/>
        </w:rPr>
        <w:t xml:space="preserve">mit begleitendem Rahmenprogramm </w:t>
      </w:r>
      <w:r>
        <w:rPr>
          <w:rStyle w:val="Seitenzahl"/>
        </w:rPr>
        <w:t xml:space="preserve">wird </w:t>
      </w:r>
      <w:r w:rsidR="00F21A43">
        <w:rPr>
          <w:rStyle w:val="Seitenzahl"/>
        </w:rPr>
        <w:t>vom 27. bis 29.</w:t>
      </w:r>
      <w:r>
        <w:rPr>
          <w:rStyle w:val="Seitenzahl"/>
        </w:rPr>
        <w:t xml:space="preserve"> Juni </w:t>
      </w:r>
      <w:r w:rsidR="00D16CD6">
        <w:rPr>
          <w:rStyle w:val="Seitenzahl"/>
        </w:rPr>
        <w:t xml:space="preserve">2018 </w:t>
      </w:r>
      <w:r>
        <w:rPr>
          <w:rStyle w:val="Seitenzahl"/>
        </w:rPr>
        <w:t xml:space="preserve">in Berlin stattfinden. Federführung für die </w:t>
      </w:r>
      <w:r w:rsidRPr="00C911A7">
        <w:rPr>
          <w:rStyle w:val="Seitenzahl"/>
        </w:rPr>
        <w:t xml:space="preserve">Ausrichtung </w:t>
      </w:r>
      <w:r w:rsidR="00D16CD6" w:rsidRPr="00C911A7">
        <w:rPr>
          <w:rStyle w:val="Seitenzahl"/>
        </w:rPr>
        <w:t xml:space="preserve">liegt beim </w:t>
      </w:r>
      <w:r w:rsidRPr="00C911A7">
        <w:rPr>
          <w:rStyle w:val="Seitenzahl"/>
        </w:rPr>
        <w:t>BMWi</w:t>
      </w:r>
      <w:r w:rsidR="00C911A7">
        <w:rPr>
          <w:rStyle w:val="Seitenzahl"/>
        </w:rPr>
        <w:t xml:space="preserve">. Neben den Sitzungen des Boards sind Side Meetings geplant, u.a. </w:t>
      </w:r>
      <w:r>
        <w:rPr>
          <w:rStyle w:val="Seitenzahl"/>
        </w:rPr>
        <w:t xml:space="preserve">eine Veranstaltung </w:t>
      </w:r>
      <w:r w:rsidR="00C911A7">
        <w:rPr>
          <w:rStyle w:val="Seitenzahl"/>
        </w:rPr>
        <w:t xml:space="preserve">des BMZ </w:t>
      </w:r>
      <w:r>
        <w:rPr>
          <w:rStyle w:val="Seitenzahl"/>
        </w:rPr>
        <w:t>zu Handlungsspielräumen der Zivilgesellschaft</w:t>
      </w:r>
      <w:r w:rsidR="00C911A7">
        <w:rPr>
          <w:rStyle w:val="Seitenzahl"/>
        </w:rPr>
        <w:t>, eine Veranstaltung der deutschen Zivilgesellschaft zu Beneficial Ownership sowie zwei Veranstaltungen des BMWi zu Konfliktmineralien/German Mining Network und Lateinamerika.</w:t>
      </w:r>
    </w:p>
    <w:p w14:paraId="006F72E0" w14:textId="77777777" w:rsidR="00853BAA" w:rsidRPr="00565986" w:rsidRDefault="00853BAA" w:rsidP="001A64EB">
      <w:pPr>
        <w:spacing w:line="276" w:lineRule="auto"/>
        <w:jc w:val="both"/>
        <w:rPr>
          <w:rStyle w:val="Seitenzahl"/>
        </w:rPr>
      </w:pPr>
    </w:p>
    <w:p w14:paraId="4E969D78" w14:textId="77777777" w:rsidR="000B32B7" w:rsidRPr="00005A36" w:rsidRDefault="000B32B7" w:rsidP="001A64EB">
      <w:pPr>
        <w:spacing w:after="120" w:line="276" w:lineRule="auto"/>
        <w:jc w:val="both"/>
        <w:rPr>
          <w:rStyle w:val="Seitenzahl"/>
          <w:b/>
          <w:u w:val="single"/>
        </w:rPr>
      </w:pPr>
      <w:r w:rsidRPr="00005A36">
        <w:rPr>
          <w:rStyle w:val="Seitenzahl"/>
          <w:b/>
          <w:u w:val="single"/>
        </w:rPr>
        <w:t>Bewertung und Empfehlungen:</w:t>
      </w:r>
    </w:p>
    <w:p w14:paraId="0323D0E0" w14:textId="77777777" w:rsidR="000B32B7" w:rsidRDefault="001A64EB" w:rsidP="000B32B7">
      <w:pPr>
        <w:spacing w:after="120" w:line="276" w:lineRule="auto"/>
        <w:jc w:val="both"/>
        <w:rPr>
          <w:rStyle w:val="Seitenzahl"/>
        </w:rPr>
      </w:pPr>
      <w:r>
        <w:rPr>
          <w:rStyle w:val="Seitenzahl"/>
        </w:rPr>
        <w:t>Das</w:t>
      </w:r>
      <w:r w:rsidR="004B6F71">
        <w:rPr>
          <w:rStyle w:val="Seitenzahl"/>
        </w:rPr>
        <w:t xml:space="preserve"> 3</w:t>
      </w:r>
      <w:r w:rsidR="00853BAA">
        <w:rPr>
          <w:rStyle w:val="Seitenzahl"/>
        </w:rPr>
        <w:t>9</w:t>
      </w:r>
      <w:r w:rsidR="000B32B7">
        <w:rPr>
          <w:rStyle w:val="Seitenzahl"/>
        </w:rPr>
        <w:t xml:space="preserve">. </w:t>
      </w:r>
      <w:r w:rsidR="00696A42" w:rsidRPr="00696A42">
        <w:rPr>
          <w:rStyle w:val="Seitenzahl"/>
        </w:rPr>
        <w:t>Board</w:t>
      </w:r>
      <w:r w:rsidR="00696A42">
        <w:rPr>
          <w:rStyle w:val="Seitenzahl"/>
        </w:rPr>
        <w:t xml:space="preserve"> M</w:t>
      </w:r>
      <w:r w:rsidR="00065D8F" w:rsidRPr="00696A42">
        <w:rPr>
          <w:rStyle w:val="Seitenzahl"/>
        </w:rPr>
        <w:t>eeting</w:t>
      </w:r>
      <w:r w:rsidR="00065D8F">
        <w:rPr>
          <w:rStyle w:val="Seitenzahl"/>
          <w:i/>
        </w:rPr>
        <w:t xml:space="preserve"> </w:t>
      </w:r>
      <w:r>
        <w:rPr>
          <w:rStyle w:val="Seitenzahl"/>
        </w:rPr>
        <w:t>war</w:t>
      </w:r>
      <w:r w:rsidR="000B32B7">
        <w:rPr>
          <w:rStyle w:val="Seitenzahl"/>
        </w:rPr>
        <w:t xml:space="preserve"> aus Sicht des BMZ</w:t>
      </w:r>
      <w:r w:rsidR="00F94970">
        <w:rPr>
          <w:rStyle w:val="Seitenzahl"/>
        </w:rPr>
        <w:t xml:space="preserve"> und </w:t>
      </w:r>
      <w:r w:rsidR="00D140FC">
        <w:rPr>
          <w:rStyle w:val="Seitenzahl"/>
        </w:rPr>
        <w:t xml:space="preserve">des </w:t>
      </w:r>
      <w:r w:rsidR="00F94970">
        <w:rPr>
          <w:rStyle w:val="Seitenzahl"/>
        </w:rPr>
        <w:t>BMWi</w:t>
      </w:r>
      <w:r w:rsidR="000B32B7">
        <w:rPr>
          <w:rStyle w:val="Seitenzahl"/>
        </w:rPr>
        <w:t xml:space="preserve"> </w:t>
      </w:r>
      <w:r w:rsidR="000B32B7" w:rsidRPr="00AD7CAF">
        <w:rPr>
          <w:rStyle w:val="Seitenzahl"/>
          <w:b/>
        </w:rPr>
        <w:t>inhaltlich erfolgreich</w:t>
      </w:r>
      <w:r w:rsidR="000B32B7">
        <w:rPr>
          <w:rStyle w:val="Seitenzahl"/>
        </w:rPr>
        <w:t xml:space="preserve">. Die getroffenen Beschlüsse entsprachen überwiegend den im Vorfeld der Sitzung im Rahmen der deutschen Stimmrechtsgruppe </w:t>
      </w:r>
      <w:r w:rsidR="000B32B7" w:rsidRPr="00B26434">
        <w:rPr>
          <w:rStyle w:val="Seitenzahl"/>
        </w:rPr>
        <w:t>abgestimmten Positionen</w:t>
      </w:r>
      <w:r w:rsidR="000B32B7">
        <w:rPr>
          <w:rStyle w:val="Seitenzahl"/>
        </w:rPr>
        <w:t>.</w:t>
      </w:r>
      <w:r w:rsidR="004B6F71">
        <w:rPr>
          <w:rStyle w:val="Seitenzahl"/>
        </w:rPr>
        <w:t xml:space="preserve"> </w:t>
      </w:r>
      <w:r w:rsidR="00853BAA">
        <w:rPr>
          <w:rStyle w:val="Seitenzahl"/>
        </w:rPr>
        <w:t>Das Board hat eine wegweisende Entscheidung zur systematischen Offenlegung getroffen</w:t>
      </w:r>
      <w:r w:rsidR="00527BC8">
        <w:rPr>
          <w:rStyle w:val="Seitenzahl"/>
        </w:rPr>
        <w:t xml:space="preserve">, </w:t>
      </w:r>
      <w:r w:rsidR="00853BAA">
        <w:rPr>
          <w:rStyle w:val="Seitenzahl"/>
        </w:rPr>
        <w:t>die die</w:t>
      </w:r>
      <w:r w:rsidR="00527BC8">
        <w:rPr>
          <w:rStyle w:val="Seitenzahl"/>
        </w:rPr>
        <w:t xml:space="preserve"> Zukunftsfähigkeit der Initiative </w:t>
      </w:r>
      <w:r w:rsidR="00853BAA">
        <w:rPr>
          <w:rStyle w:val="Seitenzahl"/>
        </w:rPr>
        <w:t>sichert</w:t>
      </w:r>
      <w:r w:rsidR="00527BC8">
        <w:rPr>
          <w:rStyle w:val="Seitenzahl"/>
        </w:rPr>
        <w:t xml:space="preserve"> und Transparenz im Rohstoffsektor nachhaltig </w:t>
      </w:r>
      <w:r w:rsidR="00853BAA">
        <w:rPr>
          <w:rStyle w:val="Seitenzahl"/>
        </w:rPr>
        <w:t>verankert</w:t>
      </w:r>
      <w:r w:rsidR="00527BC8">
        <w:rPr>
          <w:rStyle w:val="Seitenzahl"/>
        </w:rPr>
        <w:t xml:space="preserve">. </w:t>
      </w:r>
      <w:r w:rsidR="00853BAA">
        <w:rPr>
          <w:rStyle w:val="Seitenzahl"/>
        </w:rPr>
        <w:t>Dadurch steigen jedoch kurz-</w:t>
      </w:r>
      <w:r w:rsidR="00F94970">
        <w:rPr>
          <w:rStyle w:val="Seitenzahl"/>
        </w:rPr>
        <w:t xml:space="preserve"> </w:t>
      </w:r>
      <w:r w:rsidR="00853BAA">
        <w:rPr>
          <w:rStyle w:val="Seitenzahl"/>
        </w:rPr>
        <w:t>und</w:t>
      </w:r>
      <w:r w:rsidR="00527BC8">
        <w:rPr>
          <w:rStyle w:val="Seitenzahl"/>
        </w:rPr>
        <w:t xml:space="preserve"> mittelfristig </w:t>
      </w:r>
      <w:r w:rsidR="00853BAA">
        <w:rPr>
          <w:rStyle w:val="Seitenzahl"/>
        </w:rPr>
        <w:t>Finanzierungsbedarfe</w:t>
      </w:r>
      <w:r w:rsidR="00527BC8">
        <w:rPr>
          <w:rStyle w:val="Seitenzahl"/>
        </w:rPr>
        <w:t xml:space="preserve"> </w:t>
      </w:r>
      <w:r w:rsidR="00853BAA">
        <w:rPr>
          <w:rStyle w:val="Seitenzahl"/>
        </w:rPr>
        <w:t>der</w:t>
      </w:r>
      <w:r w:rsidR="00527BC8">
        <w:rPr>
          <w:rStyle w:val="Seitenzahl"/>
        </w:rPr>
        <w:t xml:space="preserve"> Entwicklungsländer, die EITI implementieren</w:t>
      </w:r>
      <w:r w:rsidR="00853BAA">
        <w:rPr>
          <w:rStyle w:val="Seitenzahl"/>
        </w:rPr>
        <w:t xml:space="preserve">. </w:t>
      </w:r>
      <w:r w:rsidR="0028657F">
        <w:rPr>
          <w:rStyle w:val="Seitenzahl"/>
        </w:rPr>
        <w:t xml:space="preserve">Die Geber tragen nun gemeinsam mit den implementierenden Ländern die Verantwortung für die Umsetzung dieser Empfehlung. </w:t>
      </w:r>
    </w:p>
    <w:p w14:paraId="1010DCDF" w14:textId="77777777" w:rsidR="006B51A4" w:rsidRPr="003F5A87" w:rsidRDefault="006B51A4" w:rsidP="001A64EB">
      <w:pPr>
        <w:spacing w:after="120" w:line="276" w:lineRule="auto"/>
        <w:jc w:val="both"/>
        <w:rPr>
          <w:rStyle w:val="Seitenzahl"/>
          <w:b/>
          <w:u w:val="single"/>
        </w:rPr>
      </w:pPr>
      <w:r w:rsidRPr="003F5A87">
        <w:rPr>
          <w:rStyle w:val="Seitenzahl"/>
          <w:b/>
          <w:u w:val="single"/>
        </w:rPr>
        <w:t>Rahmenprogramm</w:t>
      </w:r>
    </w:p>
    <w:p w14:paraId="71F61307" w14:textId="77777777" w:rsidR="006B51A4" w:rsidRPr="003F5A87" w:rsidRDefault="00065D8F" w:rsidP="000B32B7">
      <w:pPr>
        <w:spacing w:line="276" w:lineRule="auto"/>
        <w:jc w:val="both"/>
        <w:rPr>
          <w:rStyle w:val="Seitenzahl"/>
        </w:rPr>
      </w:pPr>
      <w:r>
        <w:rPr>
          <w:rStyle w:val="Seitenzahl"/>
        </w:rPr>
        <w:t xml:space="preserve">Die </w:t>
      </w:r>
      <w:r w:rsidR="00853BAA">
        <w:rPr>
          <w:rStyle w:val="Seitenzahl"/>
        </w:rPr>
        <w:t xml:space="preserve">NOR </w:t>
      </w:r>
      <w:r>
        <w:rPr>
          <w:rStyle w:val="Seitenzahl"/>
        </w:rPr>
        <w:t>Regierung hat zu einem Empfang am Rande des Board</w:t>
      </w:r>
      <w:r w:rsidR="00696A42">
        <w:rPr>
          <w:rStyle w:val="Seitenzahl"/>
        </w:rPr>
        <w:t xml:space="preserve"> M</w:t>
      </w:r>
      <w:r>
        <w:rPr>
          <w:rStyle w:val="Seitenzahl"/>
        </w:rPr>
        <w:t>eetings eingeladen</w:t>
      </w:r>
      <w:r w:rsidR="00853BAA">
        <w:rPr>
          <w:rStyle w:val="Seitenzahl"/>
        </w:rPr>
        <w:t>, bei dem der neue</w:t>
      </w:r>
      <w:r w:rsidR="00533CF9">
        <w:rPr>
          <w:rStyle w:val="Seitenzahl"/>
        </w:rPr>
        <w:t xml:space="preserve"> NOR</w:t>
      </w:r>
      <w:r w:rsidR="00853BAA">
        <w:rPr>
          <w:rStyle w:val="Seitenzahl"/>
        </w:rPr>
        <w:t xml:space="preserve"> Entwicklungsminister</w:t>
      </w:r>
      <w:r w:rsidR="00D16CD6">
        <w:rPr>
          <w:rStyle w:val="Seitenzahl"/>
        </w:rPr>
        <w:t>,</w:t>
      </w:r>
      <w:r w:rsidR="00853BAA">
        <w:rPr>
          <w:rStyle w:val="Seitenzahl"/>
        </w:rPr>
        <w:t xml:space="preserve"> Nikolai Astrup</w:t>
      </w:r>
      <w:r w:rsidR="00D16CD6">
        <w:rPr>
          <w:rStyle w:val="Seitenzahl"/>
        </w:rPr>
        <w:t>,</w:t>
      </w:r>
      <w:r w:rsidR="00853BAA">
        <w:rPr>
          <w:rStyle w:val="Seitenzahl"/>
        </w:rPr>
        <w:t xml:space="preserve"> </w:t>
      </w:r>
      <w:r w:rsidR="00D16CD6">
        <w:rPr>
          <w:rStyle w:val="Seitenzahl"/>
        </w:rPr>
        <w:t xml:space="preserve">eine </w:t>
      </w:r>
      <w:r w:rsidR="0028657F">
        <w:rPr>
          <w:rStyle w:val="Seitenzahl"/>
        </w:rPr>
        <w:t>Ansprache hielt</w:t>
      </w:r>
      <w:r>
        <w:rPr>
          <w:rStyle w:val="Seitenzahl"/>
        </w:rPr>
        <w:t xml:space="preserve">. Im Anschluss </w:t>
      </w:r>
      <w:r>
        <w:rPr>
          <w:rStyle w:val="Seitenzahl"/>
        </w:rPr>
        <w:lastRenderedPageBreak/>
        <w:t>an das Board</w:t>
      </w:r>
      <w:r w:rsidR="00696A42">
        <w:rPr>
          <w:rStyle w:val="Seitenzahl"/>
        </w:rPr>
        <w:t xml:space="preserve"> M</w:t>
      </w:r>
      <w:r>
        <w:rPr>
          <w:rStyle w:val="Seitenzahl"/>
        </w:rPr>
        <w:t xml:space="preserve">eeting fand auch das Treffen des Steuerungskomitees des EGPS Trustfunds der Weltbank statt, an dem </w:t>
      </w:r>
      <w:r w:rsidR="0028657F">
        <w:rPr>
          <w:rStyle w:val="Seitenzahl"/>
        </w:rPr>
        <w:t xml:space="preserve">GIZ </w:t>
      </w:r>
      <w:r>
        <w:rPr>
          <w:rStyle w:val="Seitenzahl"/>
        </w:rPr>
        <w:t xml:space="preserve">als Beobachter teilnahm. </w:t>
      </w:r>
      <w:r w:rsidR="00F715C5">
        <w:rPr>
          <w:rStyle w:val="Seitenzahl"/>
        </w:rPr>
        <w:t xml:space="preserve">  </w:t>
      </w:r>
      <w:r w:rsidR="004B6F71">
        <w:rPr>
          <w:rStyle w:val="Seitenzahl"/>
        </w:rPr>
        <w:t xml:space="preserve"> </w:t>
      </w:r>
      <w:r w:rsidR="006B51A4" w:rsidRPr="003F5A87">
        <w:rPr>
          <w:rStyle w:val="Seitenzahl"/>
        </w:rPr>
        <w:t xml:space="preserve"> </w:t>
      </w:r>
    </w:p>
    <w:sectPr w:rsidR="006B51A4" w:rsidRPr="003F5A87" w:rsidSect="00112883">
      <w:headerReference w:type="default" r:id="rId9"/>
      <w:footerReference w:type="default" r:id="rId10"/>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42393" w14:textId="77777777" w:rsidR="00366B2D" w:rsidRDefault="00366B2D" w:rsidP="00A637D0">
      <w:r>
        <w:separator/>
      </w:r>
    </w:p>
  </w:endnote>
  <w:endnote w:type="continuationSeparator" w:id="0">
    <w:p w14:paraId="56A199D0" w14:textId="77777777" w:rsidR="00366B2D" w:rsidRDefault="00366B2D"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47794"/>
      <w:docPartObj>
        <w:docPartGallery w:val="Page Numbers (Bottom of Page)"/>
        <w:docPartUnique/>
      </w:docPartObj>
    </w:sdtPr>
    <w:sdtEndPr/>
    <w:sdtContent>
      <w:p w14:paraId="6D0294EA" w14:textId="0000B90F" w:rsidR="00940F0F" w:rsidRDefault="00940F0F">
        <w:pPr>
          <w:pStyle w:val="Fuzeile"/>
          <w:jc w:val="right"/>
        </w:pPr>
        <w:r>
          <w:fldChar w:fldCharType="begin"/>
        </w:r>
        <w:r>
          <w:instrText>PAGE   \* MERGEFORMAT</w:instrText>
        </w:r>
        <w:r>
          <w:fldChar w:fldCharType="separate"/>
        </w:r>
        <w:r w:rsidR="00EA6134">
          <w:rPr>
            <w:noProof/>
          </w:rPr>
          <w:t>2</w:t>
        </w:r>
        <w:r>
          <w:fldChar w:fldCharType="end"/>
        </w:r>
      </w:p>
    </w:sdtContent>
  </w:sdt>
  <w:p w14:paraId="1717B7EA" w14:textId="77777777" w:rsidR="00625191" w:rsidRPr="00165E31" w:rsidRDefault="00625191" w:rsidP="00165E31">
    <w:pPr>
      <w:pStyle w:val="Fuzeile"/>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1B1ED" w14:textId="77777777" w:rsidR="00366B2D" w:rsidRDefault="00366B2D" w:rsidP="00A637D0">
      <w:r>
        <w:separator/>
      </w:r>
    </w:p>
  </w:footnote>
  <w:footnote w:type="continuationSeparator" w:id="0">
    <w:p w14:paraId="44F5A9F4" w14:textId="77777777" w:rsidR="00366B2D" w:rsidRDefault="00366B2D" w:rsidP="00A6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2" w:type="pct"/>
      <w:tblLayout w:type="fixed"/>
      <w:tblLook w:val="04A0" w:firstRow="1" w:lastRow="0" w:firstColumn="1" w:lastColumn="0" w:noHBand="0" w:noVBand="1"/>
    </w:tblPr>
    <w:tblGrid>
      <w:gridCol w:w="6524"/>
      <w:gridCol w:w="2804"/>
    </w:tblGrid>
    <w:tr w:rsidR="00625191" w:rsidRPr="003F5A87" w14:paraId="13B0DD7C" w14:textId="77777777" w:rsidTr="003F5A87">
      <w:trPr>
        <w:trHeight w:val="492"/>
      </w:trPr>
      <w:tc>
        <w:tcPr>
          <w:tcW w:w="3497" w:type="pct"/>
        </w:tcPr>
        <w:p w14:paraId="0037AA5B" w14:textId="77777777" w:rsidR="003F5A87" w:rsidRPr="00EB0DCB" w:rsidRDefault="003F5A87" w:rsidP="003F5A87">
          <w:pPr>
            <w:pStyle w:val="Kopfzeile"/>
            <w:tabs>
              <w:tab w:val="clear" w:pos="4536"/>
              <w:tab w:val="clear" w:pos="9072"/>
            </w:tabs>
            <w:ind w:right="-2893"/>
            <w:rPr>
              <w:sz w:val="16"/>
              <w:szCs w:val="16"/>
            </w:rPr>
          </w:pPr>
          <w:r w:rsidRPr="00EB0DCB">
            <w:rPr>
              <w:sz w:val="16"/>
              <w:szCs w:val="16"/>
            </w:rPr>
            <w:t>Dr. Sören Dengg, BMZ RL 311</w:t>
          </w:r>
        </w:p>
        <w:p w14:paraId="728F1E4D" w14:textId="77777777" w:rsidR="00625191" w:rsidRPr="003F5A87" w:rsidRDefault="003F5A87" w:rsidP="005B3765">
          <w:pPr>
            <w:pStyle w:val="Kopfzeile"/>
            <w:tabs>
              <w:tab w:val="clear" w:pos="4536"/>
              <w:tab w:val="clear" w:pos="9072"/>
              <w:tab w:val="right" w:pos="9356"/>
            </w:tabs>
            <w:rPr>
              <w:sz w:val="20"/>
              <w:szCs w:val="20"/>
            </w:rPr>
          </w:pPr>
          <w:r w:rsidRPr="00EB0DCB">
            <w:rPr>
              <w:sz w:val="16"/>
              <w:szCs w:val="16"/>
            </w:rPr>
            <w:t>Anna Kravtsenko, GIZ Sektor</w:t>
          </w:r>
          <w:r w:rsidR="005B3765">
            <w:rPr>
              <w:sz w:val="16"/>
              <w:szCs w:val="16"/>
            </w:rPr>
            <w:t>programm</w:t>
          </w:r>
          <w:r w:rsidRPr="00EB0DCB">
            <w:rPr>
              <w:sz w:val="16"/>
              <w:szCs w:val="16"/>
            </w:rPr>
            <w:t xml:space="preserve"> Rohstoffe und Entwicklung</w:t>
          </w:r>
          <w:r w:rsidRPr="003F5A87">
            <w:rPr>
              <w:sz w:val="20"/>
              <w:szCs w:val="20"/>
            </w:rPr>
            <w:t xml:space="preserve"> </w:t>
          </w:r>
        </w:p>
      </w:tc>
      <w:tc>
        <w:tcPr>
          <w:tcW w:w="1503" w:type="pct"/>
        </w:tcPr>
        <w:p w14:paraId="778A677B" w14:textId="77777777" w:rsidR="00625191" w:rsidRPr="003F5A87" w:rsidRDefault="00625191" w:rsidP="003F5A87">
          <w:pPr>
            <w:pStyle w:val="Kopfzeile"/>
            <w:tabs>
              <w:tab w:val="clear" w:pos="4536"/>
              <w:tab w:val="clear" w:pos="9072"/>
              <w:tab w:val="right" w:pos="9356"/>
            </w:tabs>
            <w:ind w:left="-6344" w:right="-227"/>
            <w:jc w:val="right"/>
            <w:rPr>
              <w:sz w:val="20"/>
              <w:szCs w:val="20"/>
            </w:rPr>
          </w:pPr>
        </w:p>
      </w:tc>
    </w:tr>
    <w:tr w:rsidR="003F5A87" w:rsidRPr="003F5A87" w14:paraId="298948A9" w14:textId="77777777" w:rsidTr="003F5A87">
      <w:trPr>
        <w:trHeight w:val="240"/>
      </w:trPr>
      <w:tc>
        <w:tcPr>
          <w:tcW w:w="3497" w:type="pct"/>
        </w:tcPr>
        <w:p w14:paraId="032DA502" w14:textId="77777777" w:rsidR="003F5A87" w:rsidRPr="003F5A87" w:rsidRDefault="003F5A87" w:rsidP="003F5A87">
          <w:pPr>
            <w:pStyle w:val="Kopfzeile"/>
            <w:tabs>
              <w:tab w:val="clear" w:pos="4536"/>
              <w:tab w:val="clear" w:pos="9072"/>
              <w:tab w:val="right" w:pos="9356"/>
            </w:tabs>
            <w:rPr>
              <w:sz w:val="20"/>
              <w:szCs w:val="20"/>
            </w:rPr>
          </w:pPr>
        </w:p>
      </w:tc>
      <w:tc>
        <w:tcPr>
          <w:tcW w:w="1503" w:type="pct"/>
        </w:tcPr>
        <w:p w14:paraId="091FF1BB" w14:textId="77777777" w:rsidR="003F5A87" w:rsidRPr="003F5A87" w:rsidRDefault="003F5A87" w:rsidP="003F5A87">
          <w:pPr>
            <w:pStyle w:val="Kopfzeile"/>
            <w:tabs>
              <w:tab w:val="clear" w:pos="4536"/>
              <w:tab w:val="clear" w:pos="9072"/>
              <w:tab w:val="right" w:pos="9356"/>
            </w:tabs>
            <w:ind w:right="-227"/>
            <w:jc w:val="right"/>
            <w:rPr>
              <w:sz w:val="20"/>
              <w:szCs w:val="20"/>
            </w:rPr>
          </w:pPr>
        </w:p>
      </w:tc>
    </w:tr>
  </w:tbl>
  <w:p w14:paraId="12B54EEF" w14:textId="77777777" w:rsidR="00625191" w:rsidRPr="003F5A87" w:rsidRDefault="00625191" w:rsidP="003F5A87">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0691D"/>
    <w:multiLevelType w:val="hybridMultilevel"/>
    <w:tmpl w:val="940640DA"/>
    <w:lvl w:ilvl="0" w:tplc="562EA8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A533E7"/>
    <w:multiLevelType w:val="hybridMultilevel"/>
    <w:tmpl w:val="A3884A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revisionView w:inkAnnotation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A1"/>
    <w:rsid w:val="00001F9E"/>
    <w:rsid w:val="00004240"/>
    <w:rsid w:val="00005A36"/>
    <w:rsid w:val="000231DE"/>
    <w:rsid w:val="000304BC"/>
    <w:rsid w:val="00031F35"/>
    <w:rsid w:val="00035D58"/>
    <w:rsid w:val="00046855"/>
    <w:rsid w:val="00065D8F"/>
    <w:rsid w:val="0009385C"/>
    <w:rsid w:val="000954B3"/>
    <w:rsid w:val="000A4282"/>
    <w:rsid w:val="000A5C66"/>
    <w:rsid w:val="000B32B7"/>
    <w:rsid w:val="000B675A"/>
    <w:rsid w:val="000F1C7E"/>
    <w:rsid w:val="00101FDB"/>
    <w:rsid w:val="001049F5"/>
    <w:rsid w:val="00112883"/>
    <w:rsid w:val="001130BA"/>
    <w:rsid w:val="001305ED"/>
    <w:rsid w:val="0013201B"/>
    <w:rsid w:val="00135A33"/>
    <w:rsid w:val="00140E55"/>
    <w:rsid w:val="00153789"/>
    <w:rsid w:val="00165E31"/>
    <w:rsid w:val="001660D6"/>
    <w:rsid w:val="00180274"/>
    <w:rsid w:val="00190868"/>
    <w:rsid w:val="001A64EB"/>
    <w:rsid w:val="001C07C7"/>
    <w:rsid w:val="001D3FDE"/>
    <w:rsid w:val="001E342A"/>
    <w:rsid w:val="001F3FED"/>
    <w:rsid w:val="002042FF"/>
    <w:rsid w:val="00205815"/>
    <w:rsid w:val="00207073"/>
    <w:rsid w:val="0021338C"/>
    <w:rsid w:val="002151FA"/>
    <w:rsid w:val="00246211"/>
    <w:rsid w:val="002532B6"/>
    <w:rsid w:val="002616A5"/>
    <w:rsid w:val="00280061"/>
    <w:rsid w:val="0028657F"/>
    <w:rsid w:val="002A539F"/>
    <w:rsid w:val="002B03A2"/>
    <w:rsid w:val="002B1A5B"/>
    <w:rsid w:val="002B3887"/>
    <w:rsid w:val="002B6F60"/>
    <w:rsid w:val="002B77E6"/>
    <w:rsid w:val="002C318A"/>
    <w:rsid w:val="002E716B"/>
    <w:rsid w:val="003042EC"/>
    <w:rsid w:val="003306FA"/>
    <w:rsid w:val="00333EFE"/>
    <w:rsid w:val="00337A05"/>
    <w:rsid w:val="003543D4"/>
    <w:rsid w:val="00366B2D"/>
    <w:rsid w:val="0039484D"/>
    <w:rsid w:val="00396260"/>
    <w:rsid w:val="003B75B8"/>
    <w:rsid w:val="003B7E95"/>
    <w:rsid w:val="003C564B"/>
    <w:rsid w:val="003E33F4"/>
    <w:rsid w:val="003F2933"/>
    <w:rsid w:val="003F5A87"/>
    <w:rsid w:val="003F6EC9"/>
    <w:rsid w:val="00420541"/>
    <w:rsid w:val="004435ED"/>
    <w:rsid w:val="00450955"/>
    <w:rsid w:val="004518F4"/>
    <w:rsid w:val="00463EC1"/>
    <w:rsid w:val="00466106"/>
    <w:rsid w:val="00466305"/>
    <w:rsid w:val="004666E2"/>
    <w:rsid w:val="0046744F"/>
    <w:rsid w:val="00486356"/>
    <w:rsid w:val="0049307C"/>
    <w:rsid w:val="004B173B"/>
    <w:rsid w:val="004B6F71"/>
    <w:rsid w:val="004C7AF2"/>
    <w:rsid w:val="004E11DA"/>
    <w:rsid w:val="004E2ACC"/>
    <w:rsid w:val="004E71E0"/>
    <w:rsid w:val="00507B7D"/>
    <w:rsid w:val="00527BC8"/>
    <w:rsid w:val="00531590"/>
    <w:rsid w:val="00533CF9"/>
    <w:rsid w:val="005513E8"/>
    <w:rsid w:val="00563045"/>
    <w:rsid w:val="00563258"/>
    <w:rsid w:val="005945DB"/>
    <w:rsid w:val="005B1EFE"/>
    <w:rsid w:val="005B3765"/>
    <w:rsid w:val="005B6083"/>
    <w:rsid w:val="005C4404"/>
    <w:rsid w:val="005D500F"/>
    <w:rsid w:val="00612E38"/>
    <w:rsid w:val="00613B92"/>
    <w:rsid w:val="00624473"/>
    <w:rsid w:val="00625191"/>
    <w:rsid w:val="00645955"/>
    <w:rsid w:val="00653396"/>
    <w:rsid w:val="00677403"/>
    <w:rsid w:val="00684B53"/>
    <w:rsid w:val="00696A42"/>
    <w:rsid w:val="006A62A7"/>
    <w:rsid w:val="006B51A4"/>
    <w:rsid w:val="006C7B09"/>
    <w:rsid w:val="006D5932"/>
    <w:rsid w:val="006E2E2F"/>
    <w:rsid w:val="006F643B"/>
    <w:rsid w:val="00700A94"/>
    <w:rsid w:val="00705A1F"/>
    <w:rsid w:val="00717B63"/>
    <w:rsid w:val="00722877"/>
    <w:rsid w:val="007235B5"/>
    <w:rsid w:val="0073002A"/>
    <w:rsid w:val="00752198"/>
    <w:rsid w:val="00752AC5"/>
    <w:rsid w:val="00761B9E"/>
    <w:rsid w:val="00770D14"/>
    <w:rsid w:val="007746D8"/>
    <w:rsid w:val="007770A1"/>
    <w:rsid w:val="00780998"/>
    <w:rsid w:val="007873BA"/>
    <w:rsid w:val="007961AA"/>
    <w:rsid w:val="007A5A62"/>
    <w:rsid w:val="007B14B5"/>
    <w:rsid w:val="007D626A"/>
    <w:rsid w:val="007F46A4"/>
    <w:rsid w:val="007F6F7B"/>
    <w:rsid w:val="008040FB"/>
    <w:rsid w:val="00804CE8"/>
    <w:rsid w:val="00814DAD"/>
    <w:rsid w:val="00817D0E"/>
    <w:rsid w:val="00824179"/>
    <w:rsid w:val="00827856"/>
    <w:rsid w:val="00847F0B"/>
    <w:rsid w:val="00853BAA"/>
    <w:rsid w:val="008553FC"/>
    <w:rsid w:val="00856CFA"/>
    <w:rsid w:val="00872AF1"/>
    <w:rsid w:val="00874A62"/>
    <w:rsid w:val="00880B21"/>
    <w:rsid w:val="0088457F"/>
    <w:rsid w:val="008C00BE"/>
    <w:rsid w:val="008C41D8"/>
    <w:rsid w:val="008D10A0"/>
    <w:rsid w:val="008D59AA"/>
    <w:rsid w:val="008F4823"/>
    <w:rsid w:val="00904E70"/>
    <w:rsid w:val="00910A6C"/>
    <w:rsid w:val="00940F0F"/>
    <w:rsid w:val="009469E4"/>
    <w:rsid w:val="00965020"/>
    <w:rsid w:val="00972B2F"/>
    <w:rsid w:val="009A13D5"/>
    <w:rsid w:val="009A4E84"/>
    <w:rsid w:val="009B0BA2"/>
    <w:rsid w:val="009B39E4"/>
    <w:rsid w:val="009C2145"/>
    <w:rsid w:val="009D3F86"/>
    <w:rsid w:val="009E3144"/>
    <w:rsid w:val="009E4E08"/>
    <w:rsid w:val="009E7E71"/>
    <w:rsid w:val="00A07CEE"/>
    <w:rsid w:val="00A10074"/>
    <w:rsid w:val="00A13972"/>
    <w:rsid w:val="00A265F4"/>
    <w:rsid w:val="00A31131"/>
    <w:rsid w:val="00A637D0"/>
    <w:rsid w:val="00A94B08"/>
    <w:rsid w:val="00AA0BB3"/>
    <w:rsid w:val="00AC0E75"/>
    <w:rsid w:val="00AE6941"/>
    <w:rsid w:val="00AF5F4E"/>
    <w:rsid w:val="00B07DD9"/>
    <w:rsid w:val="00B105D6"/>
    <w:rsid w:val="00B26434"/>
    <w:rsid w:val="00B2700A"/>
    <w:rsid w:val="00B41440"/>
    <w:rsid w:val="00B54141"/>
    <w:rsid w:val="00B67061"/>
    <w:rsid w:val="00B71110"/>
    <w:rsid w:val="00B86CC5"/>
    <w:rsid w:val="00B8724F"/>
    <w:rsid w:val="00B969D6"/>
    <w:rsid w:val="00BA06E5"/>
    <w:rsid w:val="00BA5459"/>
    <w:rsid w:val="00BE09A4"/>
    <w:rsid w:val="00C1422E"/>
    <w:rsid w:val="00C177A6"/>
    <w:rsid w:val="00C24FA5"/>
    <w:rsid w:val="00C25885"/>
    <w:rsid w:val="00C33501"/>
    <w:rsid w:val="00C3690C"/>
    <w:rsid w:val="00C455FE"/>
    <w:rsid w:val="00C538DD"/>
    <w:rsid w:val="00C7522E"/>
    <w:rsid w:val="00C76077"/>
    <w:rsid w:val="00C76E1E"/>
    <w:rsid w:val="00C911A7"/>
    <w:rsid w:val="00C9254B"/>
    <w:rsid w:val="00CA66BF"/>
    <w:rsid w:val="00CC2197"/>
    <w:rsid w:val="00CC342C"/>
    <w:rsid w:val="00CC41DD"/>
    <w:rsid w:val="00CC4DB7"/>
    <w:rsid w:val="00CD07C9"/>
    <w:rsid w:val="00CD2895"/>
    <w:rsid w:val="00D018BA"/>
    <w:rsid w:val="00D140FC"/>
    <w:rsid w:val="00D16CD6"/>
    <w:rsid w:val="00D2021D"/>
    <w:rsid w:val="00D2054F"/>
    <w:rsid w:val="00D334D6"/>
    <w:rsid w:val="00D33B3D"/>
    <w:rsid w:val="00D50BD1"/>
    <w:rsid w:val="00D859BE"/>
    <w:rsid w:val="00DB4510"/>
    <w:rsid w:val="00DC4344"/>
    <w:rsid w:val="00DC62B7"/>
    <w:rsid w:val="00DD0F41"/>
    <w:rsid w:val="00DD592E"/>
    <w:rsid w:val="00DE1BE9"/>
    <w:rsid w:val="00DE6D89"/>
    <w:rsid w:val="00DF6E8E"/>
    <w:rsid w:val="00E00A39"/>
    <w:rsid w:val="00E12B79"/>
    <w:rsid w:val="00E21918"/>
    <w:rsid w:val="00E46413"/>
    <w:rsid w:val="00E534D5"/>
    <w:rsid w:val="00E56D07"/>
    <w:rsid w:val="00E61284"/>
    <w:rsid w:val="00E62B79"/>
    <w:rsid w:val="00E9115F"/>
    <w:rsid w:val="00E93452"/>
    <w:rsid w:val="00EA6134"/>
    <w:rsid w:val="00EB0DCB"/>
    <w:rsid w:val="00ED67E0"/>
    <w:rsid w:val="00EE598E"/>
    <w:rsid w:val="00F21A43"/>
    <w:rsid w:val="00F37451"/>
    <w:rsid w:val="00F41A20"/>
    <w:rsid w:val="00F715C5"/>
    <w:rsid w:val="00F75B06"/>
    <w:rsid w:val="00F94970"/>
    <w:rsid w:val="00FA0578"/>
    <w:rsid w:val="00FB4F0D"/>
    <w:rsid w:val="00FD0CDF"/>
    <w:rsid w:val="00FE2837"/>
    <w:rsid w:val="00FF758E"/>
    <w:rsid w:val="00FF7CA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A92882"/>
  <w15:docId w15:val="{230A6DC8-C643-4880-BD20-00B12DDA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character" w:styleId="Kommentarzeichen">
    <w:name w:val="annotation reference"/>
    <w:basedOn w:val="Absatz-Standardschriftart"/>
    <w:uiPriority w:val="99"/>
    <w:semiHidden/>
    <w:unhideWhenUsed/>
    <w:rsid w:val="002B3887"/>
    <w:rPr>
      <w:sz w:val="16"/>
      <w:szCs w:val="16"/>
    </w:rPr>
  </w:style>
  <w:style w:type="paragraph" w:styleId="Kommentartext">
    <w:name w:val="annotation text"/>
    <w:basedOn w:val="Standard"/>
    <w:link w:val="KommentartextZchn"/>
    <w:uiPriority w:val="99"/>
    <w:semiHidden/>
    <w:unhideWhenUsed/>
    <w:rsid w:val="002B3887"/>
    <w:rPr>
      <w:sz w:val="20"/>
      <w:szCs w:val="20"/>
    </w:rPr>
  </w:style>
  <w:style w:type="character" w:customStyle="1" w:styleId="KommentartextZchn">
    <w:name w:val="Kommentartext Zchn"/>
    <w:basedOn w:val="Absatz-Standardschriftart"/>
    <w:link w:val="Kommentartext"/>
    <w:uiPriority w:val="99"/>
    <w:semiHidden/>
    <w:rsid w:val="002B388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B3887"/>
    <w:rPr>
      <w:b/>
      <w:bCs/>
    </w:rPr>
  </w:style>
  <w:style w:type="character" w:customStyle="1" w:styleId="KommentarthemaZchn">
    <w:name w:val="Kommentarthema Zchn"/>
    <w:basedOn w:val="KommentartextZchn"/>
    <w:link w:val="Kommentarthema"/>
    <w:uiPriority w:val="99"/>
    <w:semiHidden/>
    <w:rsid w:val="002B3887"/>
    <w:rPr>
      <w:rFonts w:ascii="Arial" w:hAnsi="Arial"/>
      <w:b/>
      <w:bCs/>
      <w:sz w:val="20"/>
      <w:szCs w:val="20"/>
    </w:rPr>
  </w:style>
  <w:style w:type="table" w:styleId="HelleSchattierung">
    <w:name w:val="Light Shading"/>
    <w:basedOn w:val="NormaleTabelle"/>
    <w:uiPriority w:val="60"/>
    <w:rsid w:val="003F5A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rsid w:val="002A539F"/>
    <w:pPr>
      <w:ind w:left="720"/>
      <w:contextualSpacing/>
    </w:pPr>
  </w:style>
  <w:style w:type="character" w:styleId="Hyperlink">
    <w:name w:val="Hyperlink"/>
    <w:basedOn w:val="Absatz-Standardschriftart"/>
    <w:uiPriority w:val="99"/>
    <w:unhideWhenUsed/>
    <w:rsid w:val="00286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1874">
      <w:bodyDiv w:val="1"/>
      <w:marLeft w:val="0"/>
      <w:marRight w:val="0"/>
      <w:marTop w:val="0"/>
      <w:marBottom w:val="0"/>
      <w:divBdr>
        <w:top w:val="none" w:sz="0" w:space="0" w:color="auto"/>
        <w:left w:val="none" w:sz="0" w:space="0" w:color="auto"/>
        <w:bottom w:val="none" w:sz="0" w:space="0" w:color="auto"/>
        <w:right w:val="none" w:sz="0" w:space="0" w:color="auto"/>
      </w:divBdr>
    </w:div>
    <w:div w:id="18592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ypusa.org/wp-content/uploads/2018/02/CONFIDENTIAL-USEITI-Grievance-Lett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7F14-E6EF-4372-B4D0-E254AABF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11509</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Kravtsenko</dc:creator>
  <cp:lastModifiedBy>Leutner, Jana GIZ</cp:lastModifiedBy>
  <cp:revision>2</cp:revision>
  <cp:lastPrinted>2018-02-22T12:51:00Z</cp:lastPrinted>
  <dcterms:created xsi:type="dcterms:W3CDTF">2018-03-08T09:02:00Z</dcterms:created>
  <dcterms:modified xsi:type="dcterms:W3CDTF">2018-03-08T09:02:00Z</dcterms:modified>
</cp:coreProperties>
</file>