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F6E62" w14:textId="0AA3DD52" w:rsidR="00A5267E" w:rsidRPr="00F4168F" w:rsidRDefault="00A5267E" w:rsidP="00F4168F">
      <w:pPr>
        <w:pStyle w:val="berschrift1"/>
      </w:pPr>
      <w:bookmarkStart w:id="0" w:name="_GoBack"/>
      <w:bookmarkEnd w:id="0"/>
      <w:r w:rsidRPr="00F4168F">
        <w:t>Entscheidungsvorlage D-EITI-Validierung – 11. MSG-Sitzung, 21.3.2018</w:t>
      </w:r>
    </w:p>
    <w:p w14:paraId="46A4B99D" w14:textId="53E29E35" w:rsidR="002B3878" w:rsidRDefault="009A0D38" w:rsidP="00A5267E">
      <w:pPr>
        <w:pStyle w:val="berschrift2"/>
        <w:rPr>
          <w:rFonts w:ascii="Arial" w:hAnsi="Arial" w:cs="Arial"/>
        </w:rPr>
      </w:pPr>
      <w:r w:rsidRPr="00F4168F">
        <w:rPr>
          <w:rFonts w:ascii="Arial" w:hAnsi="Arial" w:cs="Arial"/>
        </w:rPr>
        <w:t xml:space="preserve">Option 1: </w:t>
      </w:r>
      <w:r w:rsidR="00947B64">
        <w:rPr>
          <w:rFonts w:ascii="Arial" w:hAnsi="Arial" w:cs="Arial"/>
        </w:rPr>
        <w:t xml:space="preserve">Frühe </w:t>
      </w:r>
      <w:r w:rsidRPr="00F4168F">
        <w:rPr>
          <w:rFonts w:ascii="Arial" w:hAnsi="Arial" w:cs="Arial"/>
        </w:rPr>
        <w:t>Validierung auf Grundlage des ersten D-EITI-Berichts (inkl. Nachtragsbericht)</w:t>
      </w:r>
    </w:p>
    <w:p w14:paraId="6C1AFF5E" w14:textId="77777777" w:rsidR="00A47C1A" w:rsidRPr="00A47C1A" w:rsidRDefault="00A47C1A" w:rsidP="00A47C1A"/>
    <w:p w14:paraId="60ACE6DC" w14:textId="2D75FE3D" w:rsidR="00A5267E" w:rsidRDefault="00A5267E" w:rsidP="00A47C1A">
      <w:pPr>
        <w:rPr>
          <w:rFonts w:ascii="Arial" w:hAnsi="Arial" w:cs="Arial"/>
        </w:rPr>
      </w:pPr>
      <w:r w:rsidRPr="00A47C1A">
        <w:rPr>
          <w:rFonts w:ascii="Arial" w:hAnsi="Arial" w:cs="Arial"/>
          <w:b/>
        </w:rPr>
        <w:t>Ziel</w:t>
      </w:r>
      <w:r w:rsidRPr="00A47C1A">
        <w:rPr>
          <w:rFonts w:ascii="Arial" w:hAnsi="Arial" w:cs="Arial"/>
        </w:rPr>
        <w:t>: Das Validierungsergebnis wird mit „</w:t>
      </w:r>
      <w:r w:rsidRPr="00A47C1A">
        <w:rPr>
          <w:rFonts w:ascii="Arial" w:hAnsi="Arial" w:cs="Arial"/>
          <w:i/>
        </w:rPr>
        <w:t>satisfactory progress</w:t>
      </w:r>
      <w:r w:rsidRPr="00A47C1A">
        <w:rPr>
          <w:rFonts w:ascii="Arial" w:hAnsi="Arial" w:cs="Arial"/>
        </w:rPr>
        <w:t xml:space="preserve">“ auf der kommenden Weltkonferenz 2019 bekannt gegeben. </w:t>
      </w:r>
    </w:p>
    <w:p w14:paraId="22A7316B" w14:textId="77777777" w:rsidR="00A47C1A" w:rsidRPr="00A47C1A" w:rsidRDefault="00A47C1A" w:rsidP="00A47C1A">
      <w:pPr>
        <w:rPr>
          <w:rFonts w:ascii="Arial" w:hAnsi="Arial" w:cs="Arial"/>
        </w:rPr>
      </w:pPr>
    </w:p>
    <w:p w14:paraId="548960AA" w14:textId="52D84775" w:rsidR="00A47C1A" w:rsidRPr="00A47C1A" w:rsidRDefault="00D467D2" w:rsidP="00A47C1A">
      <w:pPr>
        <w:rPr>
          <w:rFonts w:ascii="Arial" w:hAnsi="Arial" w:cs="Arial"/>
        </w:rPr>
      </w:pPr>
      <w:r w:rsidRPr="00A47C1A">
        <w:rPr>
          <w:rFonts w:ascii="Arial" w:hAnsi="Arial" w:cs="Arial"/>
          <w:b/>
        </w:rPr>
        <w:t>Zeitplan</w:t>
      </w:r>
      <w:r w:rsidRPr="00A47C1A">
        <w:rPr>
          <w:rFonts w:ascii="Arial" w:hAnsi="Arial" w:cs="Arial"/>
        </w:rPr>
        <w:t xml:space="preserve">: </w:t>
      </w:r>
      <w:r w:rsidR="000B0184" w:rsidRPr="00A47C1A">
        <w:rPr>
          <w:rFonts w:ascii="Arial" w:hAnsi="Arial" w:cs="Arial"/>
        </w:rPr>
        <w:t>Die Validierun</w:t>
      </w:r>
      <w:r w:rsidR="00BE29D1" w:rsidRPr="00A47C1A">
        <w:rPr>
          <w:rFonts w:ascii="Arial" w:hAnsi="Arial" w:cs="Arial"/>
        </w:rPr>
        <w:t>g kann bis zu fünf</w:t>
      </w:r>
      <w:r w:rsidR="00A47C1A" w:rsidRPr="00A47C1A">
        <w:rPr>
          <w:rFonts w:ascii="Arial" w:hAnsi="Arial" w:cs="Arial"/>
        </w:rPr>
        <w:t xml:space="preserve"> Monate</w:t>
      </w:r>
      <w:r w:rsidR="00A47C1A">
        <w:rPr>
          <w:rFonts w:ascii="Arial" w:hAnsi="Arial" w:cs="Arial"/>
        </w:rPr>
        <w:t>n</w:t>
      </w:r>
      <w:r w:rsidR="00A47C1A" w:rsidRPr="00A47C1A">
        <w:rPr>
          <w:rFonts w:ascii="Arial" w:hAnsi="Arial" w:cs="Arial"/>
        </w:rPr>
        <w:t xml:space="preserve"> </w:t>
      </w:r>
      <w:r w:rsidR="00947B64">
        <w:rPr>
          <w:rFonts w:ascii="Arial" w:hAnsi="Arial" w:cs="Arial"/>
        </w:rPr>
        <w:t xml:space="preserve">oder länger </w:t>
      </w:r>
      <w:r w:rsidR="00A47C1A" w:rsidRPr="00A47C1A">
        <w:rPr>
          <w:rFonts w:ascii="Arial" w:hAnsi="Arial" w:cs="Arial"/>
        </w:rPr>
        <w:t>d</w:t>
      </w:r>
      <w:r w:rsidR="00A47C1A">
        <w:rPr>
          <w:rFonts w:ascii="Arial" w:hAnsi="Arial" w:cs="Arial"/>
        </w:rPr>
        <w:t>auern und hängt von bestimmten V</w:t>
      </w:r>
      <w:r w:rsidR="00A47C1A" w:rsidRPr="00A47C1A">
        <w:rPr>
          <w:rFonts w:ascii="Arial" w:hAnsi="Arial" w:cs="Arial"/>
        </w:rPr>
        <w:t>ariablen ab: gute Vorbereitung bzw. Aufarbeitung und Dokumentation, Einhaltung von Kommentierungsfristen, sprechfähige InterviewpartnerInnen</w:t>
      </w:r>
      <w:r w:rsidR="00A47C1A">
        <w:rPr>
          <w:rFonts w:ascii="Arial" w:hAnsi="Arial" w:cs="Arial"/>
        </w:rPr>
        <w:t xml:space="preserve"> etc.</w:t>
      </w:r>
    </w:p>
    <w:p w14:paraId="7DC37C95" w14:textId="71E0A14A" w:rsidR="000B0184" w:rsidRDefault="000B0184" w:rsidP="00A47C1A">
      <w:pPr>
        <w:rPr>
          <w:rFonts w:ascii="Arial" w:hAnsi="Arial" w:cs="Arial"/>
        </w:rPr>
      </w:pPr>
      <w:r w:rsidRPr="00A47C1A">
        <w:rPr>
          <w:rFonts w:ascii="Arial" w:hAnsi="Arial" w:cs="Arial"/>
        </w:rPr>
        <w:t>Es steht noch nicht fest, wann die Weltkonferenz 2019 st</w:t>
      </w:r>
      <w:r w:rsidR="00BE29D1" w:rsidRPr="00A47C1A">
        <w:rPr>
          <w:rFonts w:ascii="Arial" w:hAnsi="Arial" w:cs="Arial"/>
        </w:rPr>
        <w:t>attfindet, frühestens aber im Fe</w:t>
      </w:r>
      <w:r w:rsidRPr="00A47C1A">
        <w:rPr>
          <w:rFonts w:ascii="Arial" w:hAnsi="Arial" w:cs="Arial"/>
        </w:rPr>
        <w:t>bruar 2019. D.h. die Validierung sollte im August 2018 beginnen.</w:t>
      </w:r>
      <w:r w:rsidR="00E025B5" w:rsidRPr="00A47C1A">
        <w:rPr>
          <w:rFonts w:ascii="Arial" w:hAnsi="Arial" w:cs="Arial"/>
        </w:rPr>
        <w:t xml:space="preserve"> Ab </w:t>
      </w:r>
      <w:r w:rsidR="00C90BC5" w:rsidRPr="00A47C1A">
        <w:rPr>
          <w:rFonts w:ascii="Arial" w:hAnsi="Arial" w:cs="Arial"/>
        </w:rPr>
        <w:t>Beginn der</w:t>
      </w:r>
      <w:r w:rsidR="00E025B5" w:rsidRPr="00A47C1A">
        <w:rPr>
          <w:rFonts w:ascii="Arial" w:hAnsi="Arial" w:cs="Arial"/>
        </w:rPr>
        <w:t xml:space="preserve"> Validierung</w:t>
      </w:r>
      <w:r w:rsidR="008B25B6" w:rsidRPr="00A47C1A">
        <w:rPr>
          <w:rFonts w:ascii="Arial" w:hAnsi="Arial" w:cs="Arial"/>
        </w:rPr>
        <w:t>,</w:t>
      </w:r>
      <w:r w:rsidR="00E025B5" w:rsidRPr="00A47C1A">
        <w:rPr>
          <w:rFonts w:ascii="Arial" w:hAnsi="Arial" w:cs="Arial"/>
        </w:rPr>
        <w:t xml:space="preserve"> können </w:t>
      </w:r>
      <w:r w:rsidR="00E025B5" w:rsidRPr="00947B64">
        <w:rPr>
          <w:rFonts w:ascii="Arial" w:hAnsi="Arial" w:cs="Arial"/>
          <w:i/>
        </w:rPr>
        <w:t>keine</w:t>
      </w:r>
      <w:r w:rsidR="00E025B5" w:rsidRPr="00A47C1A">
        <w:rPr>
          <w:rFonts w:ascii="Arial" w:hAnsi="Arial" w:cs="Arial"/>
        </w:rPr>
        <w:t xml:space="preserve"> Verbesserungen mehr von der MSG vorgenommen werden.</w:t>
      </w:r>
      <w:r w:rsidR="00A47C1A">
        <w:rPr>
          <w:rFonts w:ascii="Arial" w:hAnsi="Arial" w:cs="Arial"/>
        </w:rPr>
        <w:t xml:space="preserve"> </w:t>
      </w:r>
    </w:p>
    <w:p w14:paraId="3CD64C86" w14:textId="10A21773" w:rsidR="00681CA5" w:rsidRDefault="00681CA5" w:rsidP="00A47C1A">
      <w:pPr>
        <w:rPr>
          <w:rFonts w:ascii="Arial" w:hAnsi="Arial" w:cs="Arial"/>
        </w:rPr>
      </w:pPr>
    </w:p>
    <w:p w14:paraId="356A460F" w14:textId="773DC7B7" w:rsidR="00681CA5" w:rsidRDefault="00681CA5" w:rsidP="00A4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Umsetzung der Maßnahmen kann </w:t>
      </w:r>
      <w:r w:rsidR="00947B64">
        <w:rPr>
          <w:rFonts w:ascii="Arial" w:hAnsi="Arial" w:cs="Arial"/>
        </w:rPr>
        <w:t xml:space="preserve">(1). </w:t>
      </w:r>
      <w:r>
        <w:rPr>
          <w:rFonts w:ascii="Arial" w:hAnsi="Arial" w:cs="Arial"/>
        </w:rPr>
        <w:t xml:space="preserve">im offiziellen Nachtragsbericht erfolgen, jedoch auch </w:t>
      </w:r>
      <w:r w:rsidR="00947B64">
        <w:rPr>
          <w:rFonts w:ascii="Arial" w:hAnsi="Arial" w:cs="Arial"/>
        </w:rPr>
        <w:t>(2). separat</w:t>
      </w:r>
      <w:r>
        <w:rPr>
          <w:rFonts w:ascii="Arial" w:hAnsi="Arial" w:cs="Arial"/>
        </w:rPr>
        <w:t xml:space="preserve"> und kontinuierlich durch Einfügen auf dem Webportal; damit wird Frist für den Nachtragsbericht nicht wesentlich hinausgezögert. </w:t>
      </w:r>
    </w:p>
    <w:p w14:paraId="0480E6C0" w14:textId="77777777" w:rsidR="00A47C1A" w:rsidRPr="00A47C1A" w:rsidRDefault="00A47C1A" w:rsidP="00A47C1A">
      <w:pPr>
        <w:rPr>
          <w:rFonts w:ascii="Arial" w:hAnsi="Arial" w:cs="Arial"/>
        </w:rPr>
      </w:pPr>
    </w:p>
    <w:p w14:paraId="6B6856E0" w14:textId="77777777" w:rsidR="00A5267E" w:rsidRPr="00A5267E" w:rsidRDefault="00A5267E" w:rsidP="0059234F">
      <w:pPr>
        <w:rPr>
          <w:rFonts w:ascii="Arial" w:hAnsi="Arial" w:cs="Arial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397"/>
        <w:gridCol w:w="6804"/>
        <w:gridCol w:w="1701"/>
        <w:gridCol w:w="2694"/>
      </w:tblGrid>
      <w:tr w:rsidR="00DE2D24" w:rsidRPr="00A5267E" w14:paraId="25107CB6" w14:textId="77777777" w:rsidTr="006E1038">
        <w:tc>
          <w:tcPr>
            <w:tcW w:w="3397" w:type="dxa"/>
            <w:shd w:val="clear" w:color="auto" w:fill="D9D9D9" w:themeFill="background1" w:themeFillShade="D9"/>
          </w:tcPr>
          <w:p w14:paraId="50738881" w14:textId="7EA8286B" w:rsidR="00A5267E" w:rsidRPr="008E2BDB" w:rsidRDefault="00A5267E" w:rsidP="0059234F">
            <w:pPr>
              <w:rPr>
                <w:rFonts w:ascii="Arial" w:hAnsi="Arial" w:cs="Arial"/>
                <w:b/>
              </w:rPr>
            </w:pPr>
            <w:r w:rsidRPr="008E2BDB">
              <w:rPr>
                <w:rFonts w:ascii="Arial" w:hAnsi="Arial" w:cs="Arial"/>
                <w:b/>
              </w:rPr>
              <w:t>Themen mit Nachbesserungsbedarf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B48A862" w14:textId="5D502AC9" w:rsidR="00A5267E" w:rsidRPr="00A5267E" w:rsidRDefault="00A5267E" w:rsidP="0059234F">
            <w:pPr>
              <w:rPr>
                <w:rFonts w:ascii="Arial" w:hAnsi="Arial" w:cs="Arial"/>
                <w:b/>
              </w:rPr>
            </w:pPr>
            <w:r w:rsidRPr="00A5267E">
              <w:rPr>
                <w:rFonts w:ascii="Arial" w:hAnsi="Arial" w:cs="Arial"/>
                <w:b/>
              </w:rPr>
              <w:t>Vorschlag zum Vorgehen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70AA8B" w14:textId="5F65F25D" w:rsidR="00A5267E" w:rsidRPr="00A5267E" w:rsidRDefault="00A5267E" w:rsidP="00793725">
            <w:pPr>
              <w:rPr>
                <w:rFonts w:ascii="Arial" w:hAnsi="Arial" w:cs="Arial"/>
                <w:b/>
              </w:rPr>
            </w:pPr>
            <w:r w:rsidRPr="00A5267E">
              <w:rPr>
                <w:rFonts w:ascii="Arial" w:hAnsi="Arial" w:cs="Arial"/>
                <w:b/>
              </w:rPr>
              <w:t>Aufwand</w:t>
            </w:r>
            <w:r w:rsidR="006E1038">
              <w:rPr>
                <w:rFonts w:ascii="Arial" w:hAnsi="Arial" w:cs="Arial"/>
                <w:b/>
              </w:rPr>
              <w:t>, Maßnahmen und Zeitfenster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64B628C" w14:textId="6C47A2F3" w:rsidR="00A5267E" w:rsidRPr="00A5267E" w:rsidRDefault="00842FE5" w:rsidP="00A47C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Risiko </w:t>
            </w:r>
            <w:r w:rsidR="00C90BC5">
              <w:rPr>
                <w:rFonts w:ascii="Arial" w:hAnsi="Arial" w:cs="Arial"/>
              </w:rPr>
              <w:t>(l</w:t>
            </w:r>
            <w:r w:rsidR="009D089F">
              <w:rPr>
                <w:rFonts w:ascii="Arial" w:hAnsi="Arial" w:cs="Arial"/>
              </w:rPr>
              <w:t>t</w:t>
            </w:r>
            <w:r w:rsidR="00C90BC5">
              <w:rPr>
                <w:rFonts w:ascii="Arial" w:hAnsi="Arial" w:cs="Arial"/>
              </w:rPr>
              <w:t>.</w:t>
            </w:r>
            <w:r w:rsidR="009D089F">
              <w:rPr>
                <w:rFonts w:ascii="Arial" w:hAnsi="Arial" w:cs="Arial"/>
              </w:rPr>
              <w:t xml:space="preserve"> int. </w:t>
            </w:r>
            <w:r w:rsidR="00C90BC5">
              <w:rPr>
                <w:rFonts w:ascii="Arial" w:hAnsi="Arial" w:cs="Arial"/>
              </w:rPr>
              <w:t>Sek.</w:t>
            </w:r>
            <w:r w:rsidRPr="00842FE5">
              <w:rPr>
                <w:rFonts w:ascii="Arial" w:hAnsi="Arial" w:cs="Arial"/>
              </w:rPr>
              <w:t>)</w:t>
            </w:r>
          </w:p>
        </w:tc>
      </w:tr>
      <w:tr w:rsidR="00025D67" w:rsidRPr="00A5267E" w14:paraId="5B74B24A" w14:textId="77777777" w:rsidTr="00D176B1">
        <w:trPr>
          <w:trHeight w:val="869"/>
        </w:trPr>
        <w:tc>
          <w:tcPr>
            <w:tcW w:w="3397" w:type="dxa"/>
            <w:vMerge w:val="restart"/>
          </w:tcPr>
          <w:p w14:paraId="29DD9371" w14:textId="77777777" w:rsidR="00025D67" w:rsidRDefault="00025D67" w:rsidP="0059234F">
            <w:pPr>
              <w:rPr>
                <w:rFonts w:ascii="Arial" w:hAnsi="Arial" w:cs="Arial"/>
              </w:rPr>
            </w:pPr>
            <w:r w:rsidRPr="008E2BDB">
              <w:rPr>
                <w:rFonts w:ascii="Arial" w:hAnsi="Arial" w:cs="Arial"/>
                <w:b/>
              </w:rPr>
              <w:t xml:space="preserve">Gewerbesteuer </w:t>
            </w:r>
            <w:r w:rsidRPr="008E2BDB">
              <w:rPr>
                <w:rFonts w:ascii="Arial" w:hAnsi="Arial" w:cs="Arial"/>
              </w:rPr>
              <w:t>(Anforderung 4.1.)</w:t>
            </w:r>
          </w:p>
          <w:p w14:paraId="7CE62C69" w14:textId="77777777" w:rsidR="00025D67" w:rsidRDefault="00025D67" w:rsidP="0059234F">
            <w:pPr>
              <w:rPr>
                <w:rFonts w:ascii="Arial" w:hAnsi="Arial" w:cs="Arial"/>
              </w:rPr>
            </w:pPr>
          </w:p>
          <w:p w14:paraId="17203EBC" w14:textId="13433559" w:rsidR="00025D67" w:rsidRDefault="00025D67" w:rsidP="00CE5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Abgleich Pilotunternehmen</w:t>
            </w:r>
            <w:r w:rsidR="00C831D1">
              <w:rPr>
                <w:rFonts w:ascii="Arial" w:hAnsi="Arial" w:cs="Arial"/>
              </w:rPr>
              <w:t xml:space="preserve"> nach S. Bartlett</w:t>
            </w:r>
            <w:r>
              <w:rPr>
                <w:rFonts w:ascii="Arial" w:hAnsi="Arial" w:cs="Arial"/>
              </w:rPr>
              <w:t xml:space="preserve"> nicht ausreichend</w:t>
            </w:r>
            <w:r w:rsidR="00C831D1">
              <w:rPr>
                <w:rFonts w:ascii="Arial" w:hAnsi="Arial" w:cs="Arial"/>
              </w:rPr>
              <w:t xml:space="preserve"> für eine positive Validierung</w:t>
            </w:r>
            <w:r>
              <w:rPr>
                <w:rFonts w:ascii="Arial" w:hAnsi="Arial" w:cs="Arial"/>
              </w:rPr>
              <w:t xml:space="preserve">. </w:t>
            </w:r>
          </w:p>
          <w:p w14:paraId="4578A8F8" w14:textId="77777777" w:rsidR="00025D67" w:rsidRDefault="00025D67" w:rsidP="00CE5128">
            <w:pPr>
              <w:rPr>
                <w:rFonts w:ascii="Arial" w:hAnsi="Arial" w:cs="Arial"/>
              </w:rPr>
            </w:pPr>
          </w:p>
          <w:p w14:paraId="49CADCF5" w14:textId="7CE37622" w:rsidR="00025D67" w:rsidRPr="008E2BDB" w:rsidRDefault="00025D67" w:rsidP="00CE51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3ED784E0" w14:textId="3B2D832C" w:rsidR="00025D67" w:rsidRPr="00896922" w:rsidRDefault="0002555A" w:rsidP="00655EF7">
            <w:pPr>
              <w:rPr>
                <w:rFonts w:ascii="Arial" w:hAnsi="Arial" w:cs="Arial"/>
                <w:b/>
                <w:i/>
              </w:rPr>
            </w:pPr>
            <w:r w:rsidRPr="00896922">
              <w:rPr>
                <w:rFonts w:ascii="Arial" w:hAnsi="Arial" w:cs="Arial"/>
                <w:b/>
                <w:i/>
              </w:rPr>
              <w:t>Vorschlag a</w:t>
            </w:r>
            <w:r w:rsidR="00025D67" w:rsidRPr="00896922">
              <w:rPr>
                <w:rFonts w:ascii="Arial" w:hAnsi="Arial" w:cs="Arial"/>
                <w:b/>
                <w:i/>
              </w:rPr>
              <w:t xml:space="preserve">) </w:t>
            </w:r>
          </w:p>
          <w:p w14:paraId="4CA1681F" w14:textId="32DF1685" w:rsidR="00025D67" w:rsidRPr="00D176B1" w:rsidRDefault="00947B64" w:rsidP="00D17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MSG entscheidet</w:t>
            </w:r>
            <w:r w:rsidR="00025D67" w:rsidRPr="00D176B1">
              <w:rPr>
                <w:rFonts w:ascii="Arial" w:hAnsi="Arial" w:cs="Arial"/>
              </w:rPr>
              <w:t>, D-EITI auf der Grundlage des vorliegenden A</w:t>
            </w:r>
            <w:r w:rsidR="00C831D1" w:rsidRPr="00D176B1">
              <w:rPr>
                <w:rFonts w:ascii="Arial" w:hAnsi="Arial" w:cs="Arial"/>
              </w:rPr>
              <w:t>bgleiches der GewSt validieren zu lassen, beschließt aber g</w:t>
            </w:r>
            <w:r w:rsidR="00025D67" w:rsidRPr="00D176B1">
              <w:rPr>
                <w:rFonts w:ascii="Arial" w:hAnsi="Arial" w:cs="Arial"/>
              </w:rPr>
              <w:t xml:space="preserve">leichzeitig </w:t>
            </w:r>
            <w:r w:rsidR="00C831D1" w:rsidRPr="00D176B1">
              <w:rPr>
                <w:rFonts w:ascii="Arial" w:hAnsi="Arial" w:cs="Arial"/>
              </w:rPr>
              <w:t xml:space="preserve">den Abgleich </w:t>
            </w:r>
            <w:r w:rsidR="00A47C1A" w:rsidRPr="00D176B1">
              <w:rPr>
                <w:rFonts w:ascii="Arial" w:hAnsi="Arial" w:cs="Arial"/>
              </w:rPr>
              <w:t xml:space="preserve">in den folgenden zwei Jahren </w:t>
            </w:r>
            <w:r w:rsidR="00C831D1" w:rsidRPr="00D176B1">
              <w:rPr>
                <w:rFonts w:ascii="Arial" w:hAnsi="Arial" w:cs="Arial"/>
              </w:rPr>
              <w:t xml:space="preserve">auszuweiten </w:t>
            </w:r>
            <w:r w:rsidR="00025D67" w:rsidRPr="00D176B1">
              <w:rPr>
                <w:rFonts w:ascii="Arial" w:hAnsi="Arial" w:cs="Arial"/>
              </w:rPr>
              <w:t xml:space="preserve">und eine </w:t>
            </w:r>
            <w:r w:rsidR="00C831D1" w:rsidRPr="00D176B1">
              <w:rPr>
                <w:rFonts w:ascii="Arial" w:hAnsi="Arial" w:cs="Arial"/>
              </w:rPr>
              <w:t xml:space="preserve">zufallsgenerierte </w:t>
            </w:r>
            <w:r w:rsidR="00025D67" w:rsidRPr="00D176B1">
              <w:rPr>
                <w:rFonts w:ascii="Arial" w:hAnsi="Arial" w:cs="Arial"/>
              </w:rPr>
              <w:t>Stichprobe von Gemeinden abzugleichen.</w:t>
            </w:r>
            <w:r w:rsidR="00C831D1" w:rsidRPr="00D176B1">
              <w:rPr>
                <w:rFonts w:ascii="Arial" w:hAnsi="Arial" w:cs="Arial"/>
              </w:rPr>
              <w:t xml:space="preserve"> Als Grundlage kann eine höhere Wesentlichkeitsschwelle angesetzt werden als 100.000 Euro.</w:t>
            </w:r>
          </w:p>
          <w:p w14:paraId="5B838449" w14:textId="77777777" w:rsidR="006E1038" w:rsidRPr="00C831D1" w:rsidRDefault="006E1038" w:rsidP="006E1038">
            <w:pPr>
              <w:pStyle w:val="Listenabsatz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74DE48" w14:textId="507D9931" w:rsidR="00C831D1" w:rsidRPr="00D176B1" w:rsidRDefault="00C831D1" w:rsidP="00D176B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176B1">
              <w:rPr>
                <w:rFonts w:ascii="Arial" w:hAnsi="Arial" w:cs="Arial"/>
              </w:rPr>
              <w:t>D</w:t>
            </w:r>
            <w:r w:rsidR="00025D67" w:rsidRPr="00D176B1">
              <w:rPr>
                <w:rFonts w:ascii="Arial" w:hAnsi="Arial" w:cs="Arial"/>
              </w:rPr>
              <w:t xml:space="preserve">iese </w:t>
            </w:r>
            <w:r w:rsidRPr="00D176B1">
              <w:rPr>
                <w:rFonts w:ascii="Arial" w:hAnsi="Arial" w:cs="Arial"/>
              </w:rPr>
              <w:t>Maßnahmen werden</w:t>
            </w:r>
            <w:r w:rsidR="006E1038" w:rsidRPr="00D176B1">
              <w:rPr>
                <w:rFonts w:ascii="Arial" w:hAnsi="Arial" w:cs="Arial"/>
              </w:rPr>
              <w:t xml:space="preserve"> unter Schilderung der Problematik</w:t>
            </w:r>
            <w:r w:rsidRPr="00D176B1">
              <w:rPr>
                <w:rFonts w:ascii="Arial" w:hAnsi="Arial" w:cs="Arial"/>
              </w:rPr>
              <w:t xml:space="preserve"> in</w:t>
            </w:r>
            <w:r w:rsidR="00025D67" w:rsidRPr="00D176B1">
              <w:rPr>
                <w:rFonts w:ascii="Arial" w:hAnsi="Arial" w:cs="Arial"/>
              </w:rPr>
              <w:t xml:space="preserve"> einen Brief an das internationale Board</w:t>
            </w:r>
            <w:r w:rsidRPr="00D176B1">
              <w:rPr>
                <w:rFonts w:ascii="Arial" w:hAnsi="Arial" w:cs="Arial"/>
              </w:rPr>
              <w:t xml:space="preserve"> dargestellt:</w:t>
            </w:r>
            <w:r w:rsidR="00025D67" w:rsidRPr="00D176B1">
              <w:rPr>
                <w:rFonts w:ascii="Arial" w:hAnsi="Arial" w:cs="Arial"/>
              </w:rPr>
              <w:t xml:space="preserve"> </w:t>
            </w:r>
          </w:p>
          <w:p w14:paraId="7D6ABBB2" w14:textId="30064CD6" w:rsidR="00D176B1" w:rsidRPr="00D176B1" w:rsidRDefault="00D176B1" w:rsidP="00D176B1">
            <w:pPr>
              <w:rPr>
                <w:rFonts w:ascii="Arial" w:hAnsi="Arial" w:cs="Arial"/>
              </w:rPr>
            </w:pPr>
          </w:p>
          <w:p w14:paraId="1FCBFA80" w14:textId="1A51731F" w:rsidR="00C831D1" w:rsidRPr="00C831D1" w:rsidRDefault="006E1038" w:rsidP="00C831D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eine</w:t>
            </w:r>
            <w:r w:rsidR="00025D67" w:rsidRPr="00C90BC5">
              <w:rPr>
                <w:rFonts w:ascii="Arial" w:eastAsia="Times New Roman" w:hAnsi="Arial" w:cs="Arial"/>
                <w:sz w:val="20"/>
                <w:szCs w:val="20"/>
              </w:rPr>
              <w:t xml:space="preserve"> angepasste Umsetzung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(Standard 8.1.) </w:t>
            </w:r>
            <w:r w:rsidR="00025D67" w:rsidRPr="00C90BC5">
              <w:rPr>
                <w:rFonts w:ascii="Arial" w:eastAsia="Times New Roman" w:hAnsi="Arial" w:cs="Arial"/>
                <w:sz w:val="20"/>
                <w:szCs w:val="20"/>
              </w:rPr>
              <w:t>im ersten Bericht (ein Pilotunternehmen abgeglichen) im Sinne der Förderung einer integrierten Berichterstattung (Mainstream</w:t>
            </w:r>
            <w:r w:rsidR="00C831D1">
              <w:rPr>
                <w:rFonts w:ascii="Arial" w:eastAsia="Times New Roman" w:hAnsi="Arial" w:cs="Arial"/>
                <w:sz w:val="20"/>
                <w:szCs w:val="20"/>
              </w:rPr>
              <w:t>ing) nachträglich anzuerkennen und</w:t>
            </w:r>
          </w:p>
          <w:p w14:paraId="4B87EEEE" w14:textId="1640FC6D" w:rsidR="00025D67" w:rsidRPr="006E1038" w:rsidRDefault="00025D67" w:rsidP="00C831D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90BC5">
              <w:rPr>
                <w:rFonts w:ascii="Arial" w:eastAsia="Times New Roman" w:hAnsi="Arial" w:cs="Arial"/>
                <w:sz w:val="20"/>
                <w:szCs w:val="20"/>
              </w:rPr>
              <w:t>den B</w:t>
            </w:r>
            <w:r w:rsidR="006E1038">
              <w:rPr>
                <w:rFonts w:ascii="Arial" w:eastAsia="Times New Roman" w:hAnsi="Arial" w:cs="Arial"/>
                <w:sz w:val="20"/>
                <w:szCs w:val="20"/>
              </w:rPr>
              <w:t>eschluss für die zwei darauffolgenden Jahre</w:t>
            </w:r>
            <w:r w:rsidRPr="00C90BC5">
              <w:rPr>
                <w:rFonts w:ascii="Arial" w:eastAsia="Times New Roman" w:hAnsi="Arial" w:cs="Arial"/>
                <w:sz w:val="20"/>
                <w:szCs w:val="20"/>
              </w:rPr>
              <w:t xml:space="preserve"> (Ausweitung des Abgleichs) bereits für die Validierung zu berücksichtigen.</w:t>
            </w:r>
          </w:p>
          <w:p w14:paraId="2C85FC53" w14:textId="56209AD8" w:rsidR="006E1038" w:rsidRDefault="006E1038" w:rsidP="006E1038">
            <w:pPr>
              <w:rPr>
                <w:rFonts w:ascii="Arial" w:hAnsi="Arial" w:cs="Arial"/>
              </w:rPr>
            </w:pPr>
          </w:p>
          <w:p w14:paraId="068B7953" w14:textId="40C20F9A" w:rsidR="00D176B1" w:rsidRPr="006E1038" w:rsidRDefault="00D176B1" w:rsidP="006E10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645380" w14:textId="3A2DAA17" w:rsidR="006E1038" w:rsidRDefault="006E1038" w:rsidP="00B4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 Umsetzung parallel zur Validierung</w:t>
            </w:r>
            <w:r w:rsidR="00D176B1">
              <w:rPr>
                <w:rFonts w:ascii="Arial" w:hAnsi="Arial" w:cs="Arial"/>
              </w:rPr>
              <w:t xml:space="preserve"> und zweite Berichterstellung</w:t>
            </w:r>
            <w:r>
              <w:rPr>
                <w:rFonts w:ascii="Arial" w:hAnsi="Arial" w:cs="Arial"/>
              </w:rPr>
              <w:t xml:space="preserve"> hoher Aufwand.</w:t>
            </w:r>
          </w:p>
          <w:p w14:paraId="4CA733F6" w14:textId="77777777" w:rsidR="006E1038" w:rsidRDefault="006E1038" w:rsidP="00B4552D">
            <w:pPr>
              <w:rPr>
                <w:rFonts w:ascii="Arial" w:hAnsi="Arial" w:cs="Arial"/>
              </w:rPr>
            </w:pPr>
          </w:p>
          <w:p w14:paraId="7BD0DAB9" w14:textId="12727961" w:rsidR="006E1038" w:rsidRDefault="006E1038" w:rsidP="00B4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E1038">
              <w:rPr>
                <w:rFonts w:ascii="Arial" w:hAnsi="Arial" w:cs="Arial"/>
                <w:b/>
              </w:rPr>
              <w:t>Antrag</w:t>
            </w:r>
            <w:r>
              <w:rPr>
                <w:rFonts w:ascii="Arial" w:hAnsi="Arial" w:cs="Arial"/>
              </w:rPr>
              <w:t xml:space="preserve"> wäre zügig einzureichen, damit das Board diesen in Berlin diskutieren kann.</w:t>
            </w:r>
          </w:p>
          <w:p w14:paraId="65284811" w14:textId="4477F91B" w:rsidR="006E1038" w:rsidRDefault="006E1038" w:rsidP="00B4552D">
            <w:pPr>
              <w:rPr>
                <w:rFonts w:ascii="Arial" w:hAnsi="Arial" w:cs="Arial"/>
              </w:rPr>
            </w:pPr>
            <w:r w:rsidRPr="006E1038">
              <w:rPr>
                <w:rFonts w:ascii="Arial" w:hAnsi="Arial" w:cs="Arial"/>
                <w:b/>
              </w:rPr>
              <w:t xml:space="preserve">MSG </w:t>
            </w:r>
            <w:r>
              <w:rPr>
                <w:rFonts w:ascii="Arial" w:hAnsi="Arial" w:cs="Arial"/>
              </w:rPr>
              <w:t xml:space="preserve">müsste noch vor dem Boardmeeting </w:t>
            </w:r>
            <w:r>
              <w:rPr>
                <w:rFonts w:ascii="Arial" w:hAnsi="Arial" w:cs="Arial"/>
              </w:rPr>
              <w:lastRenderedPageBreak/>
              <w:t xml:space="preserve">zu einer dokumentierten Entscheidung kommen. LB des UV müssten angepasst werden; Kommunen müssten einbezogen werden. </w:t>
            </w:r>
          </w:p>
          <w:p w14:paraId="2FBA2238" w14:textId="6453A7F5" w:rsidR="00025D67" w:rsidRPr="00A5267E" w:rsidRDefault="00025D67" w:rsidP="00D176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1F42F32" w14:textId="46D3795F" w:rsidR="00025D67" w:rsidRDefault="00025D67" w:rsidP="00B80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Bisher keine Erfahrung zu </w:t>
            </w:r>
            <w:r w:rsidRPr="006E1038">
              <w:rPr>
                <w:rFonts w:ascii="Arial" w:hAnsi="Arial" w:cs="Arial"/>
                <w:i/>
              </w:rPr>
              <w:t>nachträglich beantragter angepasster Umsetzung</w:t>
            </w:r>
            <w:r>
              <w:rPr>
                <w:rFonts w:ascii="Arial" w:hAnsi="Arial" w:cs="Arial"/>
              </w:rPr>
              <w:t xml:space="preserve"> </w:t>
            </w:r>
            <w:r w:rsidR="00E84BC3">
              <w:rPr>
                <w:rFonts w:ascii="Arial" w:hAnsi="Arial" w:cs="Arial"/>
              </w:rPr>
              <w:t>und Berücksichtigung von Beschlüssen, die erst in der Zukunft umgesetzt werden.</w:t>
            </w:r>
          </w:p>
          <w:p w14:paraId="131AC311" w14:textId="77777777" w:rsidR="00D176B1" w:rsidRDefault="00D176B1" w:rsidP="00B80D0C">
            <w:pPr>
              <w:rPr>
                <w:rFonts w:ascii="Arial" w:hAnsi="Arial" w:cs="Arial"/>
              </w:rPr>
            </w:pPr>
          </w:p>
          <w:p w14:paraId="39E41C96" w14:textId="27B4ED08" w:rsidR="006E1038" w:rsidRDefault="006E1038" w:rsidP="00B80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Dennoch weist Sam darauf hin, dass dieses Vorgehen Transparenz widerspiegelt und das Bord auf</w:t>
            </w:r>
            <w:r w:rsidR="00D176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kommende Inhalte vorbereitet</w:t>
            </w:r>
            <w:r w:rsidR="00D176B1">
              <w:rPr>
                <w:rFonts w:ascii="Arial" w:hAnsi="Arial" w:cs="Arial"/>
              </w:rPr>
              <w:t>.</w:t>
            </w:r>
          </w:p>
          <w:p w14:paraId="12BF999C" w14:textId="63935BFF" w:rsidR="00025D67" w:rsidRPr="00A5267E" w:rsidRDefault="00025D67" w:rsidP="00B80D0C">
            <w:pPr>
              <w:rPr>
                <w:rFonts w:ascii="Arial" w:hAnsi="Arial" w:cs="Arial"/>
              </w:rPr>
            </w:pPr>
          </w:p>
        </w:tc>
      </w:tr>
      <w:tr w:rsidR="00C90BC5" w:rsidRPr="00A5267E" w14:paraId="7DB47BB3" w14:textId="77777777" w:rsidTr="00D176B1">
        <w:trPr>
          <w:trHeight w:val="70"/>
        </w:trPr>
        <w:tc>
          <w:tcPr>
            <w:tcW w:w="3397" w:type="dxa"/>
            <w:vMerge/>
          </w:tcPr>
          <w:p w14:paraId="3047D35D" w14:textId="77777777" w:rsidR="00510BBA" w:rsidRPr="008E2BDB" w:rsidRDefault="00510BBA" w:rsidP="0059234F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14:paraId="10895EEF" w14:textId="21C557A0" w:rsidR="00510BBA" w:rsidRPr="00896922" w:rsidRDefault="0002555A" w:rsidP="00655EF7">
            <w:pPr>
              <w:rPr>
                <w:rFonts w:ascii="Arial" w:hAnsi="Arial" w:cs="Arial"/>
                <w:b/>
                <w:i/>
              </w:rPr>
            </w:pPr>
            <w:r w:rsidRPr="00896922">
              <w:rPr>
                <w:rFonts w:ascii="Arial" w:hAnsi="Arial" w:cs="Arial"/>
                <w:b/>
                <w:i/>
              </w:rPr>
              <w:t>Vorschlag b</w:t>
            </w:r>
            <w:r w:rsidR="00510BBA" w:rsidRPr="00896922">
              <w:rPr>
                <w:rFonts w:ascii="Arial" w:hAnsi="Arial" w:cs="Arial"/>
                <w:b/>
                <w:i/>
              </w:rPr>
              <w:t>)</w:t>
            </w:r>
          </w:p>
          <w:p w14:paraId="4E84756B" w14:textId="3A808BBC" w:rsidR="00510BBA" w:rsidRDefault="00E3559E" w:rsidP="0065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3829DA">
              <w:rPr>
                <w:rFonts w:ascii="Arial" w:hAnsi="Arial" w:cs="Arial"/>
              </w:rPr>
              <w:t>MSG entscheidet sich</w:t>
            </w:r>
            <w:r>
              <w:rPr>
                <w:rFonts w:ascii="Arial" w:hAnsi="Arial" w:cs="Arial"/>
              </w:rPr>
              <w:t xml:space="preserve">, </w:t>
            </w:r>
            <w:r w:rsidR="00C05986">
              <w:rPr>
                <w:rFonts w:ascii="Arial" w:hAnsi="Arial" w:cs="Arial"/>
              </w:rPr>
              <w:t>den Abgleich der GewSt noch für den Nachtragsbericht um eine Stichprobe auszuweiten.</w:t>
            </w:r>
          </w:p>
        </w:tc>
        <w:tc>
          <w:tcPr>
            <w:tcW w:w="1701" w:type="dxa"/>
          </w:tcPr>
          <w:p w14:paraId="4A997385" w14:textId="72568970" w:rsidR="00510BBA" w:rsidRPr="00A5267E" w:rsidRDefault="00D176B1" w:rsidP="00C3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Kurzfristig sehr hoher Aufwand; Vertrag des UV müsste angepasst werden; MSG müsste sich auf Vorgehen für Stichproben einigen.</w:t>
            </w:r>
          </w:p>
        </w:tc>
        <w:tc>
          <w:tcPr>
            <w:tcW w:w="2694" w:type="dxa"/>
          </w:tcPr>
          <w:p w14:paraId="7BF1937F" w14:textId="3B2CEE5E" w:rsidR="00510BBA" w:rsidRPr="00A5267E" w:rsidRDefault="00842FE5" w:rsidP="00592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</w:tr>
      <w:tr w:rsidR="00F4168F" w:rsidRPr="00A5267E" w14:paraId="5CE8DC43" w14:textId="77777777" w:rsidTr="006E1038">
        <w:tc>
          <w:tcPr>
            <w:tcW w:w="3397" w:type="dxa"/>
          </w:tcPr>
          <w:p w14:paraId="31295605" w14:textId="77777777" w:rsidR="00F4168F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Veröffentlichung von Unternehmen, die nicht berichten </w:t>
            </w:r>
            <w:r w:rsidRPr="00447F5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Standard Terms of Reference for the Independent Administrator)</w:t>
            </w:r>
          </w:p>
          <w:p w14:paraId="19D5CA9F" w14:textId="77777777" w:rsidR="00F4168F" w:rsidRDefault="00F4168F" w:rsidP="00F4168F">
            <w:pPr>
              <w:rPr>
                <w:rFonts w:ascii="Arial" w:hAnsi="Arial" w:cs="Arial"/>
              </w:rPr>
            </w:pPr>
          </w:p>
          <w:p w14:paraId="33E8C8DE" w14:textId="39CAF035" w:rsidR="00F4168F" w:rsidRPr="008E2BDB" w:rsidRDefault="00F4168F" w:rsidP="00F41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Das Board sieht die Veröffentlichung von Unternehmen, die nicht berichten, aber wesentliche Zahlungen leisten als verpflichtend an.</w:t>
            </w:r>
          </w:p>
        </w:tc>
        <w:tc>
          <w:tcPr>
            <w:tcW w:w="6804" w:type="dxa"/>
          </w:tcPr>
          <w:p w14:paraId="698D686D" w14:textId="6395AFA4" w:rsidR="00F4168F" w:rsidRDefault="00D176B1" w:rsidP="00F4168F">
            <w:pPr>
              <w:pStyle w:val="Listenabsatz"/>
              <w:numPr>
                <w:ilvl w:val="0"/>
                <w:numId w:val="16"/>
              </w:num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 MSG hat entschieden</w:t>
            </w:r>
            <w:r w:rsidR="00F4168F" w:rsidRPr="00C90BC5">
              <w:rPr>
                <w:rFonts w:ascii="Arial" w:eastAsia="Times New Roman" w:hAnsi="Arial" w:cs="Arial"/>
                <w:sz w:val="20"/>
                <w:szCs w:val="20"/>
              </w:rPr>
              <w:t xml:space="preserve">, dass D-EITI in Anlehnung an die EU-Bilanzrichtlinie umgesetzt wird und </w:t>
            </w:r>
            <w:r w:rsidR="00316979" w:rsidRPr="00316979">
              <w:rPr>
                <w:rFonts w:ascii="Arial" w:eastAsia="Times New Roman" w:hAnsi="Arial" w:cs="Arial"/>
                <w:i/>
                <w:sz w:val="20"/>
                <w:szCs w:val="20"/>
              </w:rPr>
              <w:t>zukünftig</w:t>
            </w:r>
            <w:r w:rsidR="003169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4168F" w:rsidRPr="00C90BC5">
              <w:rPr>
                <w:rFonts w:ascii="Arial" w:eastAsia="Times New Roman" w:hAnsi="Arial" w:cs="Arial"/>
                <w:sz w:val="20"/>
                <w:szCs w:val="20"/>
              </w:rPr>
              <w:t>die Grundgesamt</w:t>
            </w:r>
            <w:r w:rsidR="00F4168F">
              <w:rPr>
                <w:rFonts w:ascii="Arial" w:eastAsia="Times New Roman" w:hAnsi="Arial" w:cs="Arial"/>
                <w:sz w:val="20"/>
                <w:szCs w:val="20"/>
              </w:rPr>
              <w:t>heit</w:t>
            </w:r>
            <w:r w:rsidR="00F4168F" w:rsidRPr="00C90B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16979">
              <w:rPr>
                <w:rFonts w:ascii="Arial" w:eastAsia="Times New Roman" w:hAnsi="Arial" w:cs="Arial"/>
                <w:sz w:val="20"/>
                <w:szCs w:val="20"/>
              </w:rPr>
              <w:t xml:space="preserve">(ex post) </w:t>
            </w:r>
            <w:r w:rsidR="00F4168F" w:rsidRPr="00C90BC5">
              <w:rPr>
                <w:rFonts w:ascii="Arial" w:eastAsia="Times New Roman" w:hAnsi="Arial" w:cs="Arial"/>
                <w:sz w:val="20"/>
                <w:szCs w:val="20"/>
              </w:rPr>
              <w:t>der Unternehmen, die unter D-EITI berichten sollen daher alle Unternehmen umfasst, die Zahlungsberichte laut § 341r HGB abgegeben haben.</w:t>
            </w:r>
          </w:p>
          <w:p w14:paraId="2830E95E" w14:textId="77777777" w:rsidR="00D176B1" w:rsidRDefault="00D176B1" w:rsidP="00D176B1">
            <w:pPr>
              <w:pStyle w:val="Listenabsatz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663C29" w14:textId="77777777" w:rsidR="00F4168F" w:rsidRDefault="00F4168F" w:rsidP="00F4168F">
            <w:pPr>
              <w:pStyle w:val="Listenabsatz"/>
              <w:numPr>
                <w:ilvl w:val="0"/>
                <w:numId w:val="16"/>
              </w:num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4168F">
              <w:rPr>
                <w:rFonts w:ascii="Arial" w:eastAsia="Times New Roman" w:hAnsi="Arial" w:cs="Arial"/>
                <w:sz w:val="20"/>
                <w:szCs w:val="20"/>
              </w:rPr>
              <w:t>Die MSG verweist im Nachtragsbericht auf diese Grundgesamtheit und benennt die Unternehmen, die tatsächlich unter D-EITI berichtet haben (wie schon in Kap. 9 des ersten Berichts aufgeführt).</w:t>
            </w:r>
          </w:p>
          <w:p w14:paraId="046EABF8" w14:textId="4326A289" w:rsidR="00D176B1" w:rsidRPr="00D176B1" w:rsidRDefault="00D176B1" w:rsidP="00D176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981FA4" w14:textId="371BE16E" w:rsidR="00F4168F" w:rsidRDefault="00947B64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4168F">
              <w:rPr>
                <w:rFonts w:ascii="Arial" w:hAnsi="Arial" w:cs="Arial"/>
              </w:rPr>
              <w:t>ering</w:t>
            </w:r>
          </w:p>
          <w:p w14:paraId="53BC419D" w14:textId="77777777" w:rsidR="00D176B1" w:rsidRDefault="00D176B1" w:rsidP="00F4168F">
            <w:pPr>
              <w:rPr>
                <w:rFonts w:ascii="Arial" w:hAnsi="Arial" w:cs="Arial"/>
              </w:rPr>
            </w:pPr>
          </w:p>
          <w:p w14:paraId="24C7E8DE" w14:textId="512A91ED" w:rsidR="00D176B1" w:rsidRDefault="00D176B1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Anpassung im Nachtragsbericht. </w:t>
            </w:r>
          </w:p>
        </w:tc>
        <w:tc>
          <w:tcPr>
            <w:tcW w:w="2694" w:type="dxa"/>
          </w:tcPr>
          <w:p w14:paraId="243D40BA" w14:textId="0AE22C44" w:rsidR="00F4168F" w:rsidRDefault="00D176B1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Nicht abschätzbar; es sollte zusätzlich nachgewiesen werden, dass nicht berichtende Unternehmen leicht über Einsicht in BulRUG Berichterstattung identifiziert werden können; juristisches Hindernis sollte ebenfalls klar dokumentiert sein. </w:t>
            </w:r>
          </w:p>
        </w:tc>
      </w:tr>
      <w:tr w:rsidR="00F4168F" w:rsidRPr="00A5267E" w14:paraId="28B42571" w14:textId="77777777" w:rsidTr="006E1038">
        <w:tc>
          <w:tcPr>
            <w:tcW w:w="3397" w:type="dxa"/>
          </w:tcPr>
          <w:p w14:paraId="70CC2AA3" w14:textId="77777777" w:rsidR="00F4168F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Verträge</w:t>
            </w:r>
            <w:r>
              <w:rPr>
                <w:rFonts w:ascii="Arial" w:hAnsi="Arial" w:cs="Arial"/>
              </w:rPr>
              <w:t xml:space="preserve"> (Anforderung 2.4</w:t>
            </w:r>
            <w:r w:rsidRPr="008E2BDB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; </w:t>
            </w:r>
          </w:p>
          <w:p w14:paraId="638CA287" w14:textId="77777777" w:rsidR="00F4168F" w:rsidRDefault="00F4168F" w:rsidP="00F4168F">
            <w:pPr>
              <w:rPr>
                <w:rFonts w:ascii="Arial" w:hAnsi="Arial" w:cs="Arial"/>
              </w:rPr>
            </w:pPr>
            <w:r w:rsidRPr="009D089F">
              <w:rPr>
                <w:rFonts w:ascii="Arial" w:hAnsi="Arial" w:cs="Arial"/>
                <w:b/>
              </w:rPr>
              <w:t>Zahlung zur Verbesserung der Infrastruktur</w:t>
            </w:r>
            <w:r>
              <w:rPr>
                <w:rFonts w:ascii="Arial" w:hAnsi="Arial" w:cs="Arial"/>
              </w:rPr>
              <w:t xml:space="preserve"> (Anforderung 4.3</w:t>
            </w:r>
            <w:r w:rsidRPr="008E2BDB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und </w:t>
            </w:r>
            <w:r w:rsidRPr="009326CF">
              <w:rPr>
                <w:rFonts w:ascii="Arial" w:hAnsi="Arial" w:cs="Arial"/>
                <w:b/>
              </w:rPr>
              <w:t>Sozialausgaben</w:t>
            </w:r>
            <w:r>
              <w:rPr>
                <w:rFonts w:ascii="Arial" w:hAnsi="Arial" w:cs="Arial"/>
              </w:rPr>
              <w:t xml:space="preserve"> (Anforderung 6.1.)</w:t>
            </w:r>
          </w:p>
          <w:p w14:paraId="254403DD" w14:textId="77777777" w:rsidR="00F4168F" w:rsidRDefault="00F4168F" w:rsidP="00F4168F">
            <w:pPr>
              <w:rPr>
                <w:rFonts w:ascii="Arial" w:hAnsi="Arial" w:cs="Arial"/>
              </w:rPr>
            </w:pPr>
          </w:p>
          <w:p w14:paraId="64F58844" w14:textId="3D550190" w:rsidR="00F4168F" w:rsidRPr="008E2BDB" w:rsidRDefault="00F4168F" w:rsidP="00F41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Der Validator wird einen Überblick verlangen zu dem, was in den Verträgen zu Infrastrukturzahlungen steht.</w:t>
            </w:r>
          </w:p>
        </w:tc>
        <w:tc>
          <w:tcPr>
            <w:tcW w:w="6804" w:type="dxa"/>
          </w:tcPr>
          <w:p w14:paraId="7B2F1201" w14:textId="10676E40" w:rsidR="00D176B1" w:rsidRDefault="00F4168F" w:rsidP="00F4168F">
            <w:pPr>
              <w:pStyle w:val="Listenabsatz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90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Die MSG entscheidet im Nachtragsbericht auf die Zahlungsberichte der Unternehmen zu verlinken</w:t>
            </w:r>
            <w:r w:rsidR="00681CA5">
              <w:rPr>
                <w:rFonts w:ascii="Arial" w:eastAsia="Times New Roman" w:hAnsi="Arial" w:cs="Arial"/>
                <w:sz w:val="20"/>
                <w:szCs w:val="20"/>
              </w:rPr>
              <w:t xml:space="preserve"> (einseitige Berichterstattung ausreichend nach 4.3.)</w:t>
            </w:r>
            <w:r w:rsidRPr="00C90BC5">
              <w:rPr>
                <w:rFonts w:ascii="Arial" w:eastAsia="Times New Roman" w:hAnsi="Arial" w:cs="Arial"/>
                <w:sz w:val="20"/>
                <w:szCs w:val="20"/>
              </w:rPr>
              <w:t>. Dort werden die Zahlungen zur Verbesserung der Infrastruktur aufgeführt. Ein Abgleich ist laut S. Bartlett nicht nötig.</w:t>
            </w:r>
          </w:p>
          <w:p w14:paraId="4798EA2F" w14:textId="77777777" w:rsidR="00D176B1" w:rsidRDefault="00D176B1" w:rsidP="00D176B1">
            <w:pPr>
              <w:pStyle w:val="Listenabsatz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E18D1C" w14:textId="77777777" w:rsidR="00F4168F" w:rsidRDefault="00F4168F" w:rsidP="00F4168F">
            <w:pPr>
              <w:pStyle w:val="Listenabsatz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176B1">
              <w:rPr>
                <w:rFonts w:ascii="Arial" w:eastAsia="Times New Roman" w:hAnsi="Arial" w:cs="Arial"/>
                <w:sz w:val="20"/>
                <w:szCs w:val="20"/>
              </w:rPr>
              <w:t xml:space="preserve">Die MSG entscheidet </w:t>
            </w:r>
            <w:r w:rsidRPr="00681CA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zusätzlich </w:t>
            </w:r>
            <w:r w:rsidRPr="00D176B1">
              <w:rPr>
                <w:rFonts w:ascii="Arial" w:eastAsia="Times New Roman" w:hAnsi="Arial" w:cs="Arial"/>
                <w:sz w:val="20"/>
                <w:szCs w:val="20"/>
              </w:rPr>
              <w:t xml:space="preserve">einen Abschnitt in den Nachtragsbericht einzufügen, der erläutert, was in den Verträgen auf deren Grundlage die Zahlungen geleistet wurden vereinbart wurde. Hier wird auch </w:t>
            </w:r>
            <w:r w:rsidRPr="00D176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erläutert, ob es sich bei den Zahlungen um Zahlungen zur Verbesserung der Infrastruktur oder um Sozialausgaben handelt und warum nur wenige Unternehmen diese Zahlungen melden.</w:t>
            </w:r>
          </w:p>
          <w:p w14:paraId="51EF5233" w14:textId="77777777" w:rsidR="00D176B1" w:rsidRPr="00D176B1" w:rsidRDefault="00D176B1" w:rsidP="00D176B1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9862D" w14:textId="16E908B9" w:rsidR="00D176B1" w:rsidRPr="00D176B1" w:rsidRDefault="00D176B1" w:rsidP="00681CA5">
            <w:pPr>
              <w:pStyle w:val="Listenabsatz"/>
              <w:numPr>
                <w:ilvl w:val="0"/>
                <w:numId w:val="13"/>
              </w:num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Sollte Punkt zwei in der Tiefe nicht möglich ein, dann sollte zumindest dokumentiert in der MSG über die Inhalte gesprochen und </w:t>
            </w:r>
            <w:r w:rsidR="00681CA5">
              <w:rPr>
                <w:rFonts w:ascii="Arial" w:eastAsia="Times New Roman" w:hAnsi="Arial" w:cs="Arial"/>
                <w:sz w:val="20"/>
                <w:szCs w:val="20"/>
              </w:rPr>
              <w:t xml:space="preserve">gemeinsam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entschieden werden, dass es nicht wesentlich ist. </w:t>
            </w:r>
          </w:p>
        </w:tc>
        <w:tc>
          <w:tcPr>
            <w:tcW w:w="1701" w:type="dxa"/>
          </w:tcPr>
          <w:p w14:paraId="0BEC3272" w14:textId="26763752" w:rsidR="00F4168F" w:rsidRDefault="00947B64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F4168F">
              <w:rPr>
                <w:rFonts w:ascii="Arial" w:hAnsi="Arial" w:cs="Arial"/>
              </w:rPr>
              <w:t>ittel</w:t>
            </w:r>
          </w:p>
          <w:p w14:paraId="631D2E48" w14:textId="1E242B31" w:rsidR="00D176B1" w:rsidRDefault="00D176B1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 müssen sich zur Auskunft bereit erklären.</w:t>
            </w:r>
          </w:p>
        </w:tc>
        <w:tc>
          <w:tcPr>
            <w:tcW w:w="2694" w:type="dxa"/>
          </w:tcPr>
          <w:p w14:paraId="47BE8624" w14:textId="1B259D93" w:rsidR="00F4168F" w:rsidRDefault="00947B64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4168F">
              <w:rPr>
                <w:rFonts w:ascii="Arial" w:hAnsi="Arial" w:cs="Arial"/>
              </w:rPr>
              <w:t>ering</w:t>
            </w:r>
            <w:r w:rsidR="00681CA5">
              <w:rPr>
                <w:rFonts w:ascii="Arial" w:hAnsi="Arial" w:cs="Arial"/>
              </w:rPr>
              <w:t xml:space="preserve"> bei Aufnahme der Inhalte in den Nachtragsbericht</w:t>
            </w:r>
          </w:p>
          <w:p w14:paraId="71857A5D" w14:textId="722175B0" w:rsidR="00681CA5" w:rsidRDefault="00681CA5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Mittel bei Dokumentation in einem MSG Protokoll. </w:t>
            </w:r>
          </w:p>
        </w:tc>
      </w:tr>
      <w:tr w:rsidR="00F4168F" w:rsidRPr="00A5267E" w14:paraId="19F37CB1" w14:textId="77777777" w:rsidTr="006E1038">
        <w:tc>
          <w:tcPr>
            <w:tcW w:w="3397" w:type="dxa"/>
          </w:tcPr>
          <w:p w14:paraId="457C8341" w14:textId="77777777" w:rsidR="00F4168F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Wasserentnahmeentgelte </w:t>
            </w:r>
            <w:r>
              <w:rPr>
                <w:rFonts w:ascii="Arial" w:hAnsi="Arial" w:cs="Arial"/>
              </w:rPr>
              <w:t>(</w:t>
            </w:r>
            <w:r w:rsidRPr="008E2BDB">
              <w:rPr>
                <w:rFonts w:ascii="Arial" w:hAnsi="Arial" w:cs="Arial"/>
              </w:rPr>
              <w:t>Anforderung 4.1.)</w:t>
            </w:r>
          </w:p>
          <w:p w14:paraId="54C43FD6" w14:textId="77777777" w:rsidR="00F4168F" w:rsidRDefault="00F4168F" w:rsidP="00F4168F">
            <w:pPr>
              <w:rPr>
                <w:rFonts w:ascii="Arial" w:hAnsi="Arial" w:cs="Arial"/>
              </w:rPr>
            </w:pPr>
          </w:p>
          <w:p w14:paraId="6475687B" w14:textId="1435E2C0" w:rsidR="00F4168F" w:rsidRDefault="00F4168F" w:rsidP="00F41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Der Standard fordert alle wesentlichen Zahlungen abzugleichen, allerdings wird Wasser nic</w:t>
            </w:r>
            <w:r w:rsidR="00681CA5">
              <w:rPr>
                <w:rFonts w:ascii="Arial" w:hAnsi="Arial" w:cs="Arial"/>
              </w:rPr>
              <w:t xml:space="preserve">ht in anderen Ländern berichtet und auch nicht als Zielrichtung von EITI verstanden. </w:t>
            </w:r>
          </w:p>
        </w:tc>
        <w:tc>
          <w:tcPr>
            <w:tcW w:w="6804" w:type="dxa"/>
          </w:tcPr>
          <w:p w14:paraId="3DBD0555" w14:textId="08ACE8B6" w:rsidR="00F4168F" w:rsidRDefault="00F4168F" w:rsidP="00F4168F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17B11">
              <w:rPr>
                <w:rFonts w:ascii="Arial" w:eastAsia="Times New Roman" w:hAnsi="Arial" w:cs="Arial"/>
                <w:sz w:val="20"/>
                <w:szCs w:val="20"/>
              </w:rPr>
              <w:t>Die MSG beschließt, dass sie Wasserentnahmeentgelte nicht wesentlich für die Aussagekraft des D-EITI-Berichts sind, aber dennoch von Seiten der Unternehmen dargestellt werden.</w:t>
            </w:r>
          </w:p>
          <w:p w14:paraId="6C6846B0" w14:textId="77777777" w:rsidR="00681CA5" w:rsidRPr="00417B11" w:rsidRDefault="00681CA5" w:rsidP="00681CA5">
            <w:pPr>
              <w:pStyle w:val="Listenabsatz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362D86" w14:textId="1782592F" w:rsidR="00F4168F" w:rsidRPr="00417B11" w:rsidRDefault="00F4168F" w:rsidP="00F4168F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17B11">
              <w:rPr>
                <w:rFonts w:ascii="Arial" w:eastAsia="Times New Roman" w:hAnsi="Arial" w:cs="Arial"/>
                <w:sz w:val="20"/>
                <w:szCs w:val="20"/>
              </w:rPr>
              <w:t>Die MSG entscheidet im Nachtragsbericht auf die Zahlungsberichte der Unternehmen zu verlinken. Dort werden die Wasserentnahmeentgelte</w:t>
            </w:r>
            <w:r w:rsidRPr="00417B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17B11">
              <w:rPr>
                <w:rFonts w:ascii="Arial" w:eastAsia="Times New Roman" w:hAnsi="Arial" w:cs="Arial"/>
                <w:sz w:val="20"/>
                <w:szCs w:val="20"/>
              </w:rPr>
              <w:t>aufgeführt. Ein Abgleich ist laut S. Bartlett nicht nötig.</w:t>
            </w:r>
          </w:p>
        </w:tc>
        <w:tc>
          <w:tcPr>
            <w:tcW w:w="1701" w:type="dxa"/>
          </w:tcPr>
          <w:p w14:paraId="447D244D" w14:textId="057FF0B8" w:rsidR="00F4168F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  <w:tc>
          <w:tcPr>
            <w:tcW w:w="2694" w:type="dxa"/>
          </w:tcPr>
          <w:p w14:paraId="0FE687C6" w14:textId="1373D978" w:rsidR="00F4168F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</w:tr>
      <w:tr w:rsidR="00F4168F" w:rsidRPr="00A5267E" w14:paraId="78195649" w14:textId="77777777" w:rsidTr="006E1038">
        <w:tc>
          <w:tcPr>
            <w:tcW w:w="3397" w:type="dxa"/>
          </w:tcPr>
          <w:p w14:paraId="1B7506DE" w14:textId="77777777" w:rsidR="00F4168F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Staatliche Beteiligung </w:t>
            </w:r>
            <w:r w:rsidRPr="00447F51">
              <w:rPr>
                <w:rFonts w:ascii="Arial" w:hAnsi="Arial" w:cs="Arial"/>
              </w:rPr>
              <w:t>(Anforderung 2.6;</w:t>
            </w:r>
            <w:r>
              <w:rPr>
                <w:rFonts w:ascii="Arial" w:hAnsi="Arial" w:cs="Arial"/>
              </w:rPr>
              <w:t xml:space="preserve"> 4.5</w:t>
            </w:r>
            <w:r w:rsidRPr="00447F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6.2</w:t>
            </w:r>
            <w:r w:rsidRPr="00447F51">
              <w:rPr>
                <w:rFonts w:ascii="Arial" w:hAnsi="Arial" w:cs="Arial"/>
              </w:rPr>
              <w:t>)</w:t>
            </w:r>
          </w:p>
          <w:p w14:paraId="3BBC2D1C" w14:textId="77777777" w:rsidR="00F4168F" w:rsidRDefault="00F4168F" w:rsidP="00F4168F">
            <w:pPr>
              <w:rPr>
                <w:rFonts w:ascii="Arial" w:hAnsi="Arial" w:cs="Arial"/>
              </w:rPr>
            </w:pPr>
          </w:p>
          <w:p w14:paraId="1B54B1BE" w14:textId="53B8B703" w:rsidR="00F4168F" w:rsidRDefault="00F4168F" w:rsidP="00F41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Ein Unternehmen im rohstofffördernden Sektor hat wesentliche staatliche Beteiligungen, diese müssen im Bericht dargestellt werden.</w:t>
            </w:r>
          </w:p>
        </w:tc>
        <w:tc>
          <w:tcPr>
            <w:tcW w:w="6804" w:type="dxa"/>
          </w:tcPr>
          <w:p w14:paraId="52D2B84D" w14:textId="77777777" w:rsidR="00F4168F" w:rsidRPr="00C90BC5" w:rsidRDefault="00F4168F" w:rsidP="00F4168F">
            <w:pPr>
              <w:pStyle w:val="Listenabsatz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0BC5">
              <w:rPr>
                <w:rFonts w:ascii="Arial" w:eastAsia="Times New Roman" w:hAnsi="Arial" w:cs="Arial"/>
                <w:sz w:val="20"/>
                <w:szCs w:val="20"/>
              </w:rPr>
              <w:t>Die MSG entscheidet auf den Jahresbericht des Unternehmens zu verlinken und folgende Informationen im Bericht darzustellen:</w:t>
            </w:r>
          </w:p>
          <w:p w14:paraId="0EB39886" w14:textId="77777777" w:rsidR="00F4168F" w:rsidRDefault="00F4168F" w:rsidP="00F4168F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Werden Gewinne gemacht, die an die öffentlichen Stellen ausgeschüttet werden?</w:t>
            </w:r>
          </w:p>
          <w:p w14:paraId="7E9395AA" w14:textId="77777777" w:rsidR="00F4168F" w:rsidRDefault="00F4168F" w:rsidP="00F4168F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Sind diese Ausschüttungen für die öffentlichen Stellen wesentlich?</w:t>
            </w:r>
          </w:p>
          <w:p w14:paraId="1B338976" w14:textId="75CD560E" w:rsidR="00F4168F" w:rsidRPr="00604680" w:rsidRDefault="00F4168F" w:rsidP="00F4168F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Gibt es staatliche Kredite oder Garantien im Falle von Insolvenz?</w:t>
            </w:r>
          </w:p>
        </w:tc>
        <w:tc>
          <w:tcPr>
            <w:tcW w:w="1701" w:type="dxa"/>
          </w:tcPr>
          <w:p w14:paraId="232D39A1" w14:textId="73CB5B30" w:rsidR="00F4168F" w:rsidRPr="00A5267E" w:rsidRDefault="00F4168F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</w:p>
        </w:tc>
        <w:tc>
          <w:tcPr>
            <w:tcW w:w="2694" w:type="dxa"/>
          </w:tcPr>
          <w:p w14:paraId="67FF6A50" w14:textId="16662C7C" w:rsidR="00F4168F" w:rsidRDefault="00947B64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4168F">
              <w:rPr>
                <w:rFonts w:ascii="Arial" w:hAnsi="Arial" w:cs="Arial"/>
              </w:rPr>
              <w:t>ering</w:t>
            </w:r>
          </w:p>
          <w:p w14:paraId="7E74AC3D" w14:textId="77777777" w:rsidR="00681CA5" w:rsidRDefault="00681CA5" w:rsidP="00F4168F">
            <w:pPr>
              <w:rPr>
                <w:rFonts w:ascii="Arial" w:hAnsi="Arial" w:cs="Arial"/>
              </w:rPr>
            </w:pPr>
          </w:p>
          <w:p w14:paraId="19088D16" w14:textId="25A3E606" w:rsidR="00681CA5" w:rsidRPr="00A5267E" w:rsidRDefault="00681CA5" w:rsidP="00F4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Problematik: Unternehmen hat nicht unter D-EITI berichtet. </w:t>
            </w:r>
          </w:p>
        </w:tc>
      </w:tr>
    </w:tbl>
    <w:p w14:paraId="5C22E6E8" w14:textId="77777777" w:rsidR="00F4168F" w:rsidRDefault="00F4168F" w:rsidP="00A5267E">
      <w:pPr>
        <w:pStyle w:val="berschrift2"/>
        <w:rPr>
          <w:rFonts w:ascii="Arial" w:hAnsi="Arial" w:cs="Arial"/>
          <w:sz w:val="22"/>
        </w:rPr>
      </w:pPr>
    </w:p>
    <w:p w14:paraId="4221A112" w14:textId="1BBC2FFA" w:rsidR="009A0D38" w:rsidRDefault="009A0D38" w:rsidP="00A5267E">
      <w:pPr>
        <w:pStyle w:val="berschrift2"/>
        <w:rPr>
          <w:rFonts w:ascii="Arial" w:hAnsi="Arial" w:cs="Arial"/>
        </w:rPr>
      </w:pPr>
      <w:r w:rsidRPr="00F4168F">
        <w:rPr>
          <w:rFonts w:ascii="Arial" w:hAnsi="Arial" w:cs="Arial"/>
        </w:rPr>
        <w:t>Option 2: Validierung auf Grundlage des zweiten D-EITI-Berichts</w:t>
      </w:r>
    </w:p>
    <w:p w14:paraId="1D893B5A" w14:textId="77777777" w:rsidR="00681CA5" w:rsidRPr="00681CA5" w:rsidRDefault="00681CA5" w:rsidP="00681CA5"/>
    <w:p w14:paraId="0452A9E9" w14:textId="786840A6" w:rsidR="00694D58" w:rsidRDefault="00694D58" w:rsidP="00681CA5">
      <w:pPr>
        <w:rPr>
          <w:rFonts w:ascii="Arial" w:hAnsi="Arial" w:cs="Arial"/>
        </w:rPr>
      </w:pPr>
      <w:r w:rsidRPr="00681CA5">
        <w:rPr>
          <w:rFonts w:ascii="Arial" w:hAnsi="Arial" w:cs="Arial"/>
          <w:b/>
        </w:rPr>
        <w:t>Ziel</w:t>
      </w:r>
      <w:r w:rsidRPr="00681CA5">
        <w:rPr>
          <w:rFonts w:ascii="Arial" w:hAnsi="Arial" w:cs="Arial"/>
        </w:rPr>
        <w:t>: Das Validierungsergebnis wird mit „</w:t>
      </w:r>
      <w:r w:rsidRPr="00681CA5">
        <w:rPr>
          <w:rFonts w:ascii="Arial" w:hAnsi="Arial" w:cs="Arial"/>
          <w:i/>
        </w:rPr>
        <w:t>satisfactory progress</w:t>
      </w:r>
      <w:r w:rsidRPr="00681CA5">
        <w:rPr>
          <w:rFonts w:ascii="Arial" w:hAnsi="Arial" w:cs="Arial"/>
        </w:rPr>
        <w:t xml:space="preserve">“ bekannt gegeben. </w:t>
      </w:r>
    </w:p>
    <w:p w14:paraId="528518A4" w14:textId="77777777" w:rsidR="00681CA5" w:rsidRPr="00681CA5" w:rsidRDefault="00681CA5" w:rsidP="00681CA5">
      <w:pPr>
        <w:rPr>
          <w:rFonts w:ascii="Arial" w:hAnsi="Arial" w:cs="Arial"/>
        </w:rPr>
      </w:pPr>
    </w:p>
    <w:p w14:paraId="6FA02416" w14:textId="1BE132BA" w:rsidR="00694D58" w:rsidRPr="00A5267E" w:rsidRDefault="00694D58" w:rsidP="0059234F">
      <w:pPr>
        <w:rPr>
          <w:rFonts w:ascii="Arial" w:hAnsi="Arial" w:cs="Arial"/>
        </w:rPr>
      </w:pPr>
      <w:r w:rsidRPr="00681CA5">
        <w:rPr>
          <w:rFonts w:ascii="Arial" w:hAnsi="Arial" w:cs="Arial"/>
          <w:b/>
        </w:rPr>
        <w:t>Zeitplan</w:t>
      </w:r>
      <w:r w:rsidRPr="00681CA5">
        <w:rPr>
          <w:rFonts w:ascii="Arial" w:hAnsi="Arial" w:cs="Arial"/>
        </w:rPr>
        <w:t xml:space="preserve">: Der Startzeitpunkt für die Validierung von D-EITI ist der 1.1.2019. der zweite D-EITI-Bericht ist ein Jahr nach Veröffentlichung des Nachtragsberichts fällig, also voraussichtlich im April/Mai 2019. Um den zweiten Bericht validieren zu lassen braucht D-EITI daher eine Verlängerung von mindestens fünf Monaten. Die Verlängerung muss beim Board beantragt werden. </w:t>
      </w:r>
      <w:r w:rsidR="003206DF" w:rsidRPr="00681CA5">
        <w:rPr>
          <w:rFonts w:ascii="Arial" w:hAnsi="Arial" w:cs="Arial"/>
        </w:rPr>
        <w:t>Sie</w:t>
      </w:r>
      <w:r w:rsidRPr="00681CA5">
        <w:rPr>
          <w:rFonts w:ascii="Arial" w:hAnsi="Arial" w:cs="Arial"/>
        </w:rPr>
        <w:t xml:space="preserve"> wird gewährt, wenn ein Fortschritt des Landes sichtbar ist und „außergewöhnliche Umstände“ eine Verschiebung der Validierungsfirst nötig machen. Es ist nicht garantiert, dass D-EITI eine Verlängerung gewährt wird.</w:t>
      </w:r>
    </w:p>
    <w:sectPr w:rsidR="00694D58" w:rsidRPr="00A5267E" w:rsidSect="009A7A13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B33DC" w14:textId="77777777" w:rsidR="00764DD3" w:rsidRDefault="00764DD3" w:rsidP="00A637D0">
      <w:r>
        <w:separator/>
      </w:r>
    </w:p>
  </w:endnote>
  <w:endnote w:type="continuationSeparator" w:id="0">
    <w:p w14:paraId="4474544D" w14:textId="77777777" w:rsidR="00764DD3" w:rsidRDefault="00764DD3" w:rsidP="00A637D0">
      <w:r>
        <w:continuationSeparator/>
      </w:r>
    </w:p>
  </w:endnote>
  <w:endnote w:type="continuationNotice" w:id="1">
    <w:p w14:paraId="6110B158" w14:textId="77777777" w:rsidR="00764DD3" w:rsidRDefault="00764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352269"/>
      <w:docPartObj>
        <w:docPartGallery w:val="Page Numbers (Bottom of Page)"/>
        <w:docPartUnique/>
      </w:docPartObj>
    </w:sdtPr>
    <w:sdtEndPr/>
    <w:sdtContent>
      <w:p w14:paraId="7BA39221" w14:textId="32515CF3" w:rsidR="00681CA5" w:rsidRDefault="00681C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C56">
          <w:rPr>
            <w:noProof/>
          </w:rPr>
          <w:t>3</w:t>
        </w:r>
        <w:r>
          <w:fldChar w:fldCharType="end"/>
        </w:r>
      </w:p>
    </w:sdtContent>
  </w:sdt>
  <w:p w14:paraId="3C83DB9D" w14:textId="77777777" w:rsidR="00764DD3" w:rsidRPr="00165E31" w:rsidRDefault="00764DD3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3627" w14:textId="77777777" w:rsidR="00764DD3" w:rsidRDefault="00764DD3" w:rsidP="00A637D0">
      <w:r>
        <w:separator/>
      </w:r>
    </w:p>
  </w:footnote>
  <w:footnote w:type="continuationSeparator" w:id="0">
    <w:p w14:paraId="6A881AA0" w14:textId="77777777" w:rsidR="00764DD3" w:rsidRDefault="00764DD3" w:rsidP="00A637D0">
      <w:r>
        <w:continuationSeparator/>
      </w:r>
    </w:p>
  </w:footnote>
  <w:footnote w:type="continuationNotice" w:id="1">
    <w:p w14:paraId="7920364A" w14:textId="77777777" w:rsidR="00764DD3" w:rsidRDefault="00764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764DD3" w14:paraId="4BA75011" w14:textId="77777777" w:rsidTr="00625191">
      <w:tc>
        <w:tcPr>
          <w:tcW w:w="3497" w:type="pct"/>
        </w:tcPr>
        <w:p w14:paraId="1316F216" w14:textId="77777777" w:rsidR="00764DD3" w:rsidRPr="003F6EC9" w:rsidRDefault="00764DD3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14:paraId="7251EABD" w14:textId="00D54DE8" w:rsidR="00764DD3" w:rsidRDefault="00764DD3" w:rsidP="001033AF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1A624D" wp14:editId="1939CD1D">
                <wp:simplePos x="0" y="0"/>
                <wp:positionH relativeFrom="margin">
                  <wp:posOffset>-234315</wp:posOffset>
                </wp:positionH>
                <wp:positionV relativeFrom="margin">
                  <wp:posOffset>349250</wp:posOffset>
                </wp:positionV>
                <wp:extent cx="2232000" cy="360000"/>
                <wp:effectExtent l="0" t="0" r="0" b="254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B77C4E" w14:textId="77777777" w:rsidR="00764DD3" w:rsidRPr="00165E31" w:rsidRDefault="00764DD3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FAD"/>
    <w:multiLevelType w:val="hybridMultilevel"/>
    <w:tmpl w:val="525AE12E"/>
    <w:lvl w:ilvl="0" w:tplc="21ECE3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55C"/>
    <w:multiLevelType w:val="hybridMultilevel"/>
    <w:tmpl w:val="D9E01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561"/>
    <w:multiLevelType w:val="hybridMultilevel"/>
    <w:tmpl w:val="B9129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23F"/>
    <w:multiLevelType w:val="hybridMultilevel"/>
    <w:tmpl w:val="C83EA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772E"/>
    <w:multiLevelType w:val="hybridMultilevel"/>
    <w:tmpl w:val="BE043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1F6B"/>
    <w:multiLevelType w:val="hybridMultilevel"/>
    <w:tmpl w:val="E118F88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9A67DA2"/>
    <w:multiLevelType w:val="hybridMultilevel"/>
    <w:tmpl w:val="FAAC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02056"/>
    <w:multiLevelType w:val="hybridMultilevel"/>
    <w:tmpl w:val="D2826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5EF3"/>
    <w:multiLevelType w:val="hybridMultilevel"/>
    <w:tmpl w:val="95C66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D04"/>
    <w:multiLevelType w:val="hybridMultilevel"/>
    <w:tmpl w:val="940AB1F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A9055C1"/>
    <w:multiLevelType w:val="hybridMultilevel"/>
    <w:tmpl w:val="8C2850B8"/>
    <w:lvl w:ilvl="0" w:tplc="125EDE6A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B4AEF00E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color w:val="81B845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3266"/>
    <w:multiLevelType w:val="hybridMultilevel"/>
    <w:tmpl w:val="00DEA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F6EAD"/>
    <w:multiLevelType w:val="hybridMultilevel"/>
    <w:tmpl w:val="7F3480CC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51951299"/>
    <w:multiLevelType w:val="hybridMultilevel"/>
    <w:tmpl w:val="6ABAB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51B6"/>
    <w:multiLevelType w:val="hybridMultilevel"/>
    <w:tmpl w:val="8D16F6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A7089"/>
    <w:multiLevelType w:val="hybridMultilevel"/>
    <w:tmpl w:val="EFD0B9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4579A"/>
    <w:multiLevelType w:val="hybridMultilevel"/>
    <w:tmpl w:val="D9A8A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24F03"/>
    <w:multiLevelType w:val="hybridMultilevel"/>
    <w:tmpl w:val="F2AE8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9328A"/>
    <w:multiLevelType w:val="hybridMultilevel"/>
    <w:tmpl w:val="72E2D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726B"/>
    <w:multiLevelType w:val="hybridMultilevel"/>
    <w:tmpl w:val="3A649412"/>
    <w:lvl w:ilvl="0" w:tplc="05002056">
      <w:start w:val="1"/>
      <w:numFmt w:val="bullet"/>
      <w:lvlText w:val="»"/>
      <w:lvlJc w:val="left"/>
      <w:pPr>
        <w:ind w:left="2788" w:hanging="360"/>
      </w:pPr>
      <w:rPr>
        <w:rFonts w:ascii="Calibri" w:hAnsi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19"/>
  </w:num>
  <w:num w:numId="8">
    <w:abstractNumId w:val="9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4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  <w:num w:numId="19">
    <w:abstractNumId w:val="6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97"/>
    <w:rsid w:val="00020E72"/>
    <w:rsid w:val="0002151A"/>
    <w:rsid w:val="0002555A"/>
    <w:rsid w:val="00025D67"/>
    <w:rsid w:val="000304BC"/>
    <w:rsid w:val="0003589C"/>
    <w:rsid w:val="000416A4"/>
    <w:rsid w:val="00044C4C"/>
    <w:rsid w:val="00051D50"/>
    <w:rsid w:val="00053617"/>
    <w:rsid w:val="00053A16"/>
    <w:rsid w:val="00056FC8"/>
    <w:rsid w:val="000642B6"/>
    <w:rsid w:val="00064F9D"/>
    <w:rsid w:val="000677B7"/>
    <w:rsid w:val="00071536"/>
    <w:rsid w:val="000746B0"/>
    <w:rsid w:val="00075005"/>
    <w:rsid w:val="00086731"/>
    <w:rsid w:val="00087DBF"/>
    <w:rsid w:val="00091F2A"/>
    <w:rsid w:val="00093C91"/>
    <w:rsid w:val="00097C0C"/>
    <w:rsid w:val="000A0544"/>
    <w:rsid w:val="000A10DB"/>
    <w:rsid w:val="000A1E2A"/>
    <w:rsid w:val="000A2DA5"/>
    <w:rsid w:val="000A3681"/>
    <w:rsid w:val="000A5C66"/>
    <w:rsid w:val="000B0184"/>
    <w:rsid w:val="000B0629"/>
    <w:rsid w:val="000B0794"/>
    <w:rsid w:val="000B154A"/>
    <w:rsid w:val="000B22F8"/>
    <w:rsid w:val="000C05D6"/>
    <w:rsid w:val="000C0D2B"/>
    <w:rsid w:val="000C33B7"/>
    <w:rsid w:val="000C5944"/>
    <w:rsid w:val="000D1B3F"/>
    <w:rsid w:val="000D3BD1"/>
    <w:rsid w:val="000D42DC"/>
    <w:rsid w:val="000D4A37"/>
    <w:rsid w:val="000D51B4"/>
    <w:rsid w:val="000E11FE"/>
    <w:rsid w:val="000E7CB6"/>
    <w:rsid w:val="000E7D65"/>
    <w:rsid w:val="000F1C7E"/>
    <w:rsid w:val="000F2B20"/>
    <w:rsid w:val="000F67AE"/>
    <w:rsid w:val="00101FDB"/>
    <w:rsid w:val="001033AF"/>
    <w:rsid w:val="00104BAB"/>
    <w:rsid w:val="00112883"/>
    <w:rsid w:val="001130BA"/>
    <w:rsid w:val="001141C0"/>
    <w:rsid w:val="001148F7"/>
    <w:rsid w:val="001158ED"/>
    <w:rsid w:val="00117B11"/>
    <w:rsid w:val="001204F2"/>
    <w:rsid w:val="00125F49"/>
    <w:rsid w:val="0015254D"/>
    <w:rsid w:val="00152C6C"/>
    <w:rsid w:val="001640E4"/>
    <w:rsid w:val="00165E31"/>
    <w:rsid w:val="00177030"/>
    <w:rsid w:val="00177999"/>
    <w:rsid w:val="00177F45"/>
    <w:rsid w:val="00185A4A"/>
    <w:rsid w:val="001906F8"/>
    <w:rsid w:val="00190868"/>
    <w:rsid w:val="00193783"/>
    <w:rsid w:val="001963D4"/>
    <w:rsid w:val="001A4AC6"/>
    <w:rsid w:val="001B7C56"/>
    <w:rsid w:val="001B7F95"/>
    <w:rsid w:val="001C07C7"/>
    <w:rsid w:val="001C16CD"/>
    <w:rsid w:val="001C464C"/>
    <w:rsid w:val="001C7782"/>
    <w:rsid w:val="001D08A6"/>
    <w:rsid w:val="001D15D5"/>
    <w:rsid w:val="001D30B8"/>
    <w:rsid w:val="001E1372"/>
    <w:rsid w:val="001E1B75"/>
    <w:rsid w:val="001F375B"/>
    <w:rsid w:val="00203145"/>
    <w:rsid w:val="00203F68"/>
    <w:rsid w:val="00205815"/>
    <w:rsid w:val="002121E6"/>
    <w:rsid w:val="002258A4"/>
    <w:rsid w:val="00231FF9"/>
    <w:rsid w:val="00234913"/>
    <w:rsid w:val="00240C90"/>
    <w:rsid w:val="00246151"/>
    <w:rsid w:val="0024696F"/>
    <w:rsid w:val="0025057D"/>
    <w:rsid w:val="002532B6"/>
    <w:rsid w:val="002616A5"/>
    <w:rsid w:val="00271EEF"/>
    <w:rsid w:val="00276021"/>
    <w:rsid w:val="00276AC1"/>
    <w:rsid w:val="002B3878"/>
    <w:rsid w:val="002B630C"/>
    <w:rsid w:val="002B77F7"/>
    <w:rsid w:val="002C0FAD"/>
    <w:rsid w:val="002C318A"/>
    <w:rsid w:val="002C5D6A"/>
    <w:rsid w:val="002D12DE"/>
    <w:rsid w:val="002F5213"/>
    <w:rsid w:val="00311358"/>
    <w:rsid w:val="00316979"/>
    <w:rsid w:val="003206DF"/>
    <w:rsid w:val="00327ED9"/>
    <w:rsid w:val="003306FA"/>
    <w:rsid w:val="00331589"/>
    <w:rsid w:val="00333EFE"/>
    <w:rsid w:val="003616BA"/>
    <w:rsid w:val="003627E6"/>
    <w:rsid w:val="00372757"/>
    <w:rsid w:val="00375720"/>
    <w:rsid w:val="003829DA"/>
    <w:rsid w:val="00392DA6"/>
    <w:rsid w:val="003A1DD8"/>
    <w:rsid w:val="003A2FFF"/>
    <w:rsid w:val="003A5819"/>
    <w:rsid w:val="003A6590"/>
    <w:rsid w:val="003C02B0"/>
    <w:rsid w:val="003C7DD8"/>
    <w:rsid w:val="003F3CCE"/>
    <w:rsid w:val="003F45F9"/>
    <w:rsid w:val="003F6EC9"/>
    <w:rsid w:val="00400B67"/>
    <w:rsid w:val="00417B11"/>
    <w:rsid w:val="00432798"/>
    <w:rsid w:val="004435ED"/>
    <w:rsid w:val="004470D0"/>
    <w:rsid w:val="00447E3E"/>
    <w:rsid w:val="00447F51"/>
    <w:rsid w:val="00452D16"/>
    <w:rsid w:val="004578D5"/>
    <w:rsid w:val="00463EC1"/>
    <w:rsid w:val="00466305"/>
    <w:rsid w:val="004666E2"/>
    <w:rsid w:val="00471DC3"/>
    <w:rsid w:val="00472CAC"/>
    <w:rsid w:val="00487F4E"/>
    <w:rsid w:val="0049307C"/>
    <w:rsid w:val="004A419F"/>
    <w:rsid w:val="004C3F4F"/>
    <w:rsid w:val="004C461B"/>
    <w:rsid w:val="004D6789"/>
    <w:rsid w:val="004D7B0F"/>
    <w:rsid w:val="004E11DA"/>
    <w:rsid w:val="004E330E"/>
    <w:rsid w:val="004E6FB2"/>
    <w:rsid w:val="004F036B"/>
    <w:rsid w:val="004F3E2A"/>
    <w:rsid w:val="00510BBA"/>
    <w:rsid w:val="005130EA"/>
    <w:rsid w:val="0052086F"/>
    <w:rsid w:val="00542D20"/>
    <w:rsid w:val="0054509D"/>
    <w:rsid w:val="00547C4F"/>
    <w:rsid w:val="00551B39"/>
    <w:rsid w:val="005615B2"/>
    <w:rsid w:val="005754E8"/>
    <w:rsid w:val="0059234F"/>
    <w:rsid w:val="005A3EF0"/>
    <w:rsid w:val="005B5A3C"/>
    <w:rsid w:val="005C2C30"/>
    <w:rsid w:val="005C4DDF"/>
    <w:rsid w:val="005D500F"/>
    <w:rsid w:val="005E1E17"/>
    <w:rsid w:val="005F1356"/>
    <w:rsid w:val="005F673E"/>
    <w:rsid w:val="00602915"/>
    <w:rsid w:val="00604680"/>
    <w:rsid w:val="00607445"/>
    <w:rsid w:val="00613B92"/>
    <w:rsid w:val="00617369"/>
    <w:rsid w:val="00625191"/>
    <w:rsid w:val="0062546A"/>
    <w:rsid w:val="00634D80"/>
    <w:rsid w:val="00637805"/>
    <w:rsid w:val="00646446"/>
    <w:rsid w:val="00655EF7"/>
    <w:rsid w:val="006661F2"/>
    <w:rsid w:val="00672B70"/>
    <w:rsid w:val="00681CA5"/>
    <w:rsid w:val="00684974"/>
    <w:rsid w:val="00684F1C"/>
    <w:rsid w:val="00686110"/>
    <w:rsid w:val="006905A0"/>
    <w:rsid w:val="00694D58"/>
    <w:rsid w:val="006A3CAA"/>
    <w:rsid w:val="006A6B61"/>
    <w:rsid w:val="006B6778"/>
    <w:rsid w:val="006B77FB"/>
    <w:rsid w:val="006C7DC8"/>
    <w:rsid w:val="006D0B56"/>
    <w:rsid w:val="006E1038"/>
    <w:rsid w:val="006E2E2F"/>
    <w:rsid w:val="006E3DCD"/>
    <w:rsid w:val="006E69C6"/>
    <w:rsid w:val="006F643B"/>
    <w:rsid w:val="006F6CE0"/>
    <w:rsid w:val="0070762E"/>
    <w:rsid w:val="007118DF"/>
    <w:rsid w:val="007152FA"/>
    <w:rsid w:val="00720B24"/>
    <w:rsid w:val="0072150B"/>
    <w:rsid w:val="00722877"/>
    <w:rsid w:val="00725379"/>
    <w:rsid w:val="007312E4"/>
    <w:rsid w:val="00733785"/>
    <w:rsid w:val="00752AC5"/>
    <w:rsid w:val="00753198"/>
    <w:rsid w:val="00753350"/>
    <w:rsid w:val="00764DD3"/>
    <w:rsid w:val="007767CB"/>
    <w:rsid w:val="00784E30"/>
    <w:rsid w:val="00793725"/>
    <w:rsid w:val="00794771"/>
    <w:rsid w:val="00797143"/>
    <w:rsid w:val="007A709F"/>
    <w:rsid w:val="007B14B5"/>
    <w:rsid w:val="007B53A7"/>
    <w:rsid w:val="007D626A"/>
    <w:rsid w:val="007E0FE8"/>
    <w:rsid w:val="007E19C4"/>
    <w:rsid w:val="007E3BBB"/>
    <w:rsid w:val="007E5478"/>
    <w:rsid w:val="007F035E"/>
    <w:rsid w:val="007F0641"/>
    <w:rsid w:val="007F5674"/>
    <w:rsid w:val="00800C57"/>
    <w:rsid w:val="008042D8"/>
    <w:rsid w:val="0080448F"/>
    <w:rsid w:val="0081120D"/>
    <w:rsid w:val="00815ED0"/>
    <w:rsid w:val="0081644E"/>
    <w:rsid w:val="00824179"/>
    <w:rsid w:val="00830AD5"/>
    <w:rsid w:val="0083112D"/>
    <w:rsid w:val="008340A4"/>
    <w:rsid w:val="00841A0C"/>
    <w:rsid w:val="00842FE5"/>
    <w:rsid w:val="00847F0B"/>
    <w:rsid w:val="00856CFA"/>
    <w:rsid w:val="00860219"/>
    <w:rsid w:val="00875C58"/>
    <w:rsid w:val="00876F33"/>
    <w:rsid w:val="00880B21"/>
    <w:rsid w:val="008828D9"/>
    <w:rsid w:val="008874EB"/>
    <w:rsid w:val="00890246"/>
    <w:rsid w:val="00896922"/>
    <w:rsid w:val="008A1EA2"/>
    <w:rsid w:val="008B25B6"/>
    <w:rsid w:val="008B3F8A"/>
    <w:rsid w:val="008B659E"/>
    <w:rsid w:val="008C00BE"/>
    <w:rsid w:val="008C0466"/>
    <w:rsid w:val="008C5DCE"/>
    <w:rsid w:val="008D4CC1"/>
    <w:rsid w:val="008E1801"/>
    <w:rsid w:val="008E2BDB"/>
    <w:rsid w:val="00901914"/>
    <w:rsid w:val="00903DA9"/>
    <w:rsid w:val="00906521"/>
    <w:rsid w:val="00911156"/>
    <w:rsid w:val="0091367F"/>
    <w:rsid w:val="00916BB5"/>
    <w:rsid w:val="00920434"/>
    <w:rsid w:val="009326CF"/>
    <w:rsid w:val="00945305"/>
    <w:rsid w:val="00947B64"/>
    <w:rsid w:val="00964185"/>
    <w:rsid w:val="00967E82"/>
    <w:rsid w:val="0097643C"/>
    <w:rsid w:val="009778AD"/>
    <w:rsid w:val="00984321"/>
    <w:rsid w:val="009A0D38"/>
    <w:rsid w:val="009A13D5"/>
    <w:rsid w:val="009A4BC7"/>
    <w:rsid w:val="009A7A13"/>
    <w:rsid w:val="009B0BA2"/>
    <w:rsid w:val="009B22DA"/>
    <w:rsid w:val="009B3FE8"/>
    <w:rsid w:val="009B72A1"/>
    <w:rsid w:val="009B7CFD"/>
    <w:rsid w:val="009C35A9"/>
    <w:rsid w:val="009C4B58"/>
    <w:rsid w:val="009D089F"/>
    <w:rsid w:val="009D1474"/>
    <w:rsid w:val="009E0A41"/>
    <w:rsid w:val="009E22CA"/>
    <w:rsid w:val="009E23EB"/>
    <w:rsid w:val="009E365A"/>
    <w:rsid w:val="009E4E08"/>
    <w:rsid w:val="009E7E71"/>
    <w:rsid w:val="00A01FDF"/>
    <w:rsid w:val="00A103D2"/>
    <w:rsid w:val="00A13972"/>
    <w:rsid w:val="00A173CE"/>
    <w:rsid w:val="00A2700B"/>
    <w:rsid w:val="00A30E55"/>
    <w:rsid w:val="00A40451"/>
    <w:rsid w:val="00A47C1A"/>
    <w:rsid w:val="00A501E1"/>
    <w:rsid w:val="00A5267E"/>
    <w:rsid w:val="00A635A0"/>
    <w:rsid w:val="00A637D0"/>
    <w:rsid w:val="00A673B4"/>
    <w:rsid w:val="00A727C1"/>
    <w:rsid w:val="00A7658F"/>
    <w:rsid w:val="00A94A55"/>
    <w:rsid w:val="00A972E5"/>
    <w:rsid w:val="00A97E8B"/>
    <w:rsid w:val="00AA0BB3"/>
    <w:rsid w:val="00AA3260"/>
    <w:rsid w:val="00AA7BA2"/>
    <w:rsid w:val="00AB0265"/>
    <w:rsid w:val="00AB382B"/>
    <w:rsid w:val="00AC0E75"/>
    <w:rsid w:val="00AD65D4"/>
    <w:rsid w:val="00AE6941"/>
    <w:rsid w:val="00AF1807"/>
    <w:rsid w:val="00B00968"/>
    <w:rsid w:val="00B046CE"/>
    <w:rsid w:val="00B04CAD"/>
    <w:rsid w:val="00B1555A"/>
    <w:rsid w:val="00B17BFC"/>
    <w:rsid w:val="00B17E90"/>
    <w:rsid w:val="00B32E80"/>
    <w:rsid w:val="00B4552D"/>
    <w:rsid w:val="00B52174"/>
    <w:rsid w:val="00B71110"/>
    <w:rsid w:val="00B719D6"/>
    <w:rsid w:val="00B80D0C"/>
    <w:rsid w:val="00B8173B"/>
    <w:rsid w:val="00B843A3"/>
    <w:rsid w:val="00B85AF0"/>
    <w:rsid w:val="00B86CC5"/>
    <w:rsid w:val="00B92678"/>
    <w:rsid w:val="00B969D6"/>
    <w:rsid w:val="00BA06E5"/>
    <w:rsid w:val="00BC71AE"/>
    <w:rsid w:val="00BD2D25"/>
    <w:rsid w:val="00BD4FC6"/>
    <w:rsid w:val="00BE09A4"/>
    <w:rsid w:val="00BE282F"/>
    <w:rsid w:val="00BE29D1"/>
    <w:rsid w:val="00BE44AB"/>
    <w:rsid w:val="00BE4B09"/>
    <w:rsid w:val="00BE4BCB"/>
    <w:rsid w:val="00BE5F87"/>
    <w:rsid w:val="00BF51BE"/>
    <w:rsid w:val="00C05986"/>
    <w:rsid w:val="00C05B0A"/>
    <w:rsid w:val="00C071F2"/>
    <w:rsid w:val="00C1422E"/>
    <w:rsid w:val="00C177A6"/>
    <w:rsid w:val="00C22114"/>
    <w:rsid w:val="00C27A0F"/>
    <w:rsid w:val="00C30251"/>
    <w:rsid w:val="00C33501"/>
    <w:rsid w:val="00C344B8"/>
    <w:rsid w:val="00C5568E"/>
    <w:rsid w:val="00C62507"/>
    <w:rsid w:val="00C72A41"/>
    <w:rsid w:val="00C74D19"/>
    <w:rsid w:val="00C76E1E"/>
    <w:rsid w:val="00C831D1"/>
    <w:rsid w:val="00C90BC5"/>
    <w:rsid w:val="00C963F1"/>
    <w:rsid w:val="00CC342C"/>
    <w:rsid w:val="00CC41DD"/>
    <w:rsid w:val="00CC4DB7"/>
    <w:rsid w:val="00CE240F"/>
    <w:rsid w:val="00CE5128"/>
    <w:rsid w:val="00D0165D"/>
    <w:rsid w:val="00D0633B"/>
    <w:rsid w:val="00D16E1A"/>
    <w:rsid w:val="00D176B1"/>
    <w:rsid w:val="00D2054F"/>
    <w:rsid w:val="00D2562D"/>
    <w:rsid w:val="00D27CA3"/>
    <w:rsid w:val="00D32949"/>
    <w:rsid w:val="00D467D2"/>
    <w:rsid w:val="00D50D8E"/>
    <w:rsid w:val="00D5148F"/>
    <w:rsid w:val="00D57CA7"/>
    <w:rsid w:val="00D57F52"/>
    <w:rsid w:val="00D721C3"/>
    <w:rsid w:val="00D7315B"/>
    <w:rsid w:val="00D87044"/>
    <w:rsid w:val="00D87697"/>
    <w:rsid w:val="00D87834"/>
    <w:rsid w:val="00D92C73"/>
    <w:rsid w:val="00DA0B04"/>
    <w:rsid w:val="00DB7D59"/>
    <w:rsid w:val="00DC60DB"/>
    <w:rsid w:val="00DD1B3E"/>
    <w:rsid w:val="00DD592E"/>
    <w:rsid w:val="00DD6B08"/>
    <w:rsid w:val="00DD7C96"/>
    <w:rsid w:val="00DE2D24"/>
    <w:rsid w:val="00DE339D"/>
    <w:rsid w:val="00DE3E03"/>
    <w:rsid w:val="00DE6D89"/>
    <w:rsid w:val="00DF0138"/>
    <w:rsid w:val="00DF6E8E"/>
    <w:rsid w:val="00E00A39"/>
    <w:rsid w:val="00E01A7C"/>
    <w:rsid w:val="00E01E27"/>
    <w:rsid w:val="00E025B5"/>
    <w:rsid w:val="00E060E5"/>
    <w:rsid w:val="00E2168F"/>
    <w:rsid w:val="00E247BF"/>
    <w:rsid w:val="00E26904"/>
    <w:rsid w:val="00E3559E"/>
    <w:rsid w:val="00E4227D"/>
    <w:rsid w:val="00E430C6"/>
    <w:rsid w:val="00E44CC5"/>
    <w:rsid w:val="00E46413"/>
    <w:rsid w:val="00E534D5"/>
    <w:rsid w:val="00E5705E"/>
    <w:rsid w:val="00E62691"/>
    <w:rsid w:val="00E62B79"/>
    <w:rsid w:val="00E730A8"/>
    <w:rsid w:val="00E74EC0"/>
    <w:rsid w:val="00E76856"/>
    <w:rsid w:val="00E84780"/>
    <w:rsid w:val="00E84BC3"/>
    <w:rsid w:val="00E9115F"/>
    <w:rsid w:val="00EA01AA"/>
    <w:rsid w:val="00EA0929"/>
    <w:rsid w:val="00EA1586"/>
    <w:rsid w:val="00EA39C4"/>
    <w:rsid w:val="00EB099F"/>
    <w:rsid w:val="00EB4658"/>
    <w:rsid w:val="00EC0536"/>
    <w:rsid w:val="00EC785B"/>
    <w:rsid w:val="00ED67E0"/>
    <w:rsid w:val="00EF2599"/>
    <w:rsid w:val="00EF7333"/>
    <w:rsid w:val="00F00BAE"/>
    <w:rsid w:val="00F04312"/>
    <w:rsid w:val="00F05AC6"/>
    <w:rsid w:val="00F05DC4"/>
    <w:rsid w:val="00F06962"/>
    <w:rsid w:val="00F21803"/>
    <w:rsid w:val="00F225A2"/>
    <w:rsid w:val="00F34C37"/>
    <w:rsid w:val="00F36BCA"/>
    <w:rsid w:val="00F4168F"/>
    <w:rsid w:val="00F57DFE"/>
    <w:rsid w:val="00F6152C"/>
    <w:rsid w:val="00F62F3A"/>
    <w:rsid w:val="00F639C8"/>
    <w:rsid w:val="00F6601E"/>
    <w:rsid w:val="00F87F9D"/>
    <w:rsid w:val="00F956D5"/>
    <w:rsid w:val="00F968FE"/>
    <w:rsid w:val="00FA0578"/>
    <w:rsid w:val="00FC7767"/>
    <w:rsid w:val="00FC7DE6"/>
    <w:rsid w:val="00FD0CDF"/>
    <w:rsid w:val="00FD3C94"/>
    <w:rsid w:val="00FD7D85"/>
    <w:rsid w:val="00FE7563"/>
    <w:rsid w:val="00FE7967"/>
    <w:rsid w:val="00FF04D8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A43B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8AD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F4168F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F4168F"/>
    <w:rPr>
      <w:rFonts w:ascii="Arial" w:eastAsiaTheme="majorEastAsia" w:hAnsi="Arial" w:cs="Arial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697"/>
    <w:pPr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0B6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B6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0B6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00B6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C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CE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16C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99"/>
    <w:qFormat/>
    <w:rsid w:val="006905A0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1E2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1E2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01E27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07500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76AC1"/>
    <w:rPr>
      <w:rFonts w:eastAsiaTheme="minorEastAsia" w:cs="Times New Roman"/>
      <w:sz w:val="24"/>
      <w:szCs w:val="24"/>
      <w:lang w:eastAsia="de-DE"/>
    </w:rPr>
  </w:style>
  <w:style w:type="paragraph" w:customStyle="1" w:styleId="Pa21">
    <w:name w:val="Pa21"/>
    <w:basedOn w:val="Standard"/>
    <w:next w:val="Standard"/>
    <w:uiPriority w:val="99"/>
    <w:rsid w:val="00E73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paragraph" w:customStyle="1" w:styleId="Pa14">
    <w:name w:val="Pa14"/>
    <w:basedOn w:val="Standard"/>
    <w:next w:val="Standard"/>
    <w:uiPriority w:val="99"/>
    <w:rsid w:val="00E73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paragraph" w:customStyle="1" w:styleId="Pa25">
    <w:name w:val="Pa25"/>
    <w:basedOn w:val="Standard"/>
    <w:next w:val="Standard"/>
    <w:uiPriority w:val="99"/>
    <w:rsid w:val="00E73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character" w:customStyle="1" w:styleId="A8">
    <w:name w:val="A8"/>
    <w:uiPriority w:val="99"/>
    <w:rsid w:val="00E730A8"/>
    <w:rPr>
      <w:rFonts w:cs="Myriad Pro"/>
      <w:color w:val="000000"/>
      <w:sz w:val="11"/>
      <w:szCs w:val="11"/>
    </w:rPr>
  </w:style>
  <w:style w:type="paragraph" w:styleId="StandardWeb">
    <w:name w:val="Normal (Web)"/>
    <w:basedOn w:val="Standard"/>
    <w:uiPriority w:val="99"/>
    <w:semiHidden/>
    <w:unhideWhenUsed/>
    <w:rsid w:val="00E247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61F2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661F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661F2"/>
    <w:pPr>
      <w:spacing w:after="100"/>
      <w:ind w:left="220"/>
    </w:pPr>
  </w:style>
  <w:style w:type="paragraph" w:customStyle="1" w:styleId="Default">
    <w:name w:val="Default"/>
    <w:basedOn w:val="Standard"/>
    <w:rsid w:val="00327ED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jnenbez">
    <w:name w:val="jnenbez"/>
    <w:basedOn w:val="Absatz-Standardschriftart"/>
    <w:rsid w:val="00BF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5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5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6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1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0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1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3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0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9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1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1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9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7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8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1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1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3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0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9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1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D4AE-F9AD-4B36-94B6-2E3720F2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6121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2018-03-20T14:27:00Z</dcterms:created>
  <dcterms:modified xsi:type="dcterms:W3CDTF">2018-03-20T14:27:00Z</dcterms:modified>
</cp:coreProperties>
</file>