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C66F" w14:textId="38EB6443" w:rsidR="006F7D9C" w:rsidRDefault="006F7D9C" w:rsidP="001D3F46">
      <w:pPr>
        <w:rPr>
          <w:b/>
          <w:sz w:val="28"/>
        </w:rPr>
      </w:pPr>
      <w:r>
        <w:rPr>
          <w:b/>
          <w:sz w:val="28"/>
        </w:rPr>
        <w:t>TOP 3</w:t>
      </w:r>
    </w:p>
    <w:p w14:paraId="0675C977" w14:textId="77777777" w:rsidR="006F7D9C" w:rsidRDefault="006F7D9C" w:rsidP="001D3F46">
      <w:pPr>
        <w:rPr>
          <w:b/>
          <w:sz w:val="28"/>
        </w:rPr>
      </w:pPr>
    </w:p>
    <w:p w14:paraId="0A50163A" w14:textId="7DB2853F" w:rsidR="00C974BC" w:rsidRPr="001D3F46" w:rsidRDefault="00C974BC" w:rsidP="001D3F46">
      <w:pPr>
        <w:rPr>
          <w:b/>
          <w:sz w:val="28"/>
        </w:rPr>
      </w:pPr>
      <w:r w:rsidRPr="001D3F46">
        <w:rPr>
          <w:b/>
          <w:sz w:val="28"/>
        </w:rPr>
        <w:t>Schritte der EITI-Validierung</w:t>
      </w:r>
    </w:p>
    <w:p w14:paraId="1D7798C1" w14:textId="77777777" w:rsidR="006F7D9C" w:rsidRDefault="006F7D9C" w:rsidP="00642260">
      <w:pPr>
        <w:spacing w:line="276" w:lineRule="auto"/>
      </w:pPr>
    </w:p>
    <w:p w14:paraId="3D7152E3" w14:textId="6CEEBA8D" w:rsidR="00C974BC" w:rsidRPr="00642260" w:rsidRDefault="00C974BC" w:rsidP="00642260">
      <w:pPr>
        <w:spacing w:line="276" w:lineRule="auto"/>
      </w:pPr>
      <w:r w:rsidRPr="00642260">
        <w:t>Ziel der Validierung ist es, die Konformität mit dem Anforderungen aus dem EITI-Standard zu bewerten</w:t>
      </w:r>
      <w:r w:rsidRPr="00642260">
        <w:rPr>
          <w:rStyle w:val="Funotenzeichen"/>
        </w:rPr>
        <w:footnoteReference w:id="1"/>
      </w:r>
      <w:r w:rsidR="001000B8">
        <w:t>.</w:t>
      </w:r>
      <w:r w:rsidRPr="00642260">
        <w:t xml:space="preserve"> Die Validierung dient zur Leistungsbeurteilung und fördert den Dialog und das Lernen auf Ebene der Mitgliedsländer. Sie bewahrt die Integrität der EITI, indem sie alle implementierenden Länder auf denselben weltweiten Standard verpflichtet. Mit der Validierung sollen alle Stakeholder eine unvoreingenommene Bewertung darüber erhalten, ob die Umsetzung der EITI in einem Land in Einklang mit den </w:t>
      </w:r>
      <w:r w:rsidR="001000B8">
        <w:t>Anforderungen</w:t>
      </w:r>
      <w:r w:rsidRPr="00642260">
        <w:t xml:space="preserve"> des EITI-Standards steht. Im Validierungsbericht werden zudem die </w:t>
      </w:r>
      <w:r w:rsidR="001000B8">
        <w:t>Wirkungen</w:t>
      </w:r>
      <w:r w:rsidRPr="00642260">
        <w:t xml:space="preserve"> der EITI in dem validierten Land, die bei der Umsetzung der EITI gewonnen Erkenntnisse, die von Stakeholdern geäußerten Bedenken sowie die Empfehlungen für die zukünftige Umsetzung der EITI betrachtet</w:t>
      </w:r>
      <w:r w:rsidRPr="00642260">
        <w:rPr>
          <w:rStyle w:val="Funotenzeichen"/>
        </w:rPr>
        <w:footnoteReference w:id="2"/>
      </w:r>
      <w:r w:rsidR="001000B8">
        <w:t>.</w:t>
      </w:r>
      <w:r w:rsidRPr="00642260">
        <w:t xml:space="preserve">  </w:t>
      </w:r>
    </w:p>
    <w:p w14:paraId="3F85A190" w14:textId="77777777" w:rsidR="00C974BC" w:rsidRPr="00642260" w:rsidRDefault="00C974BC" w:rsidP="00642260">
      <w:pPr>
        <w:spacing w:line="276" w:lineRule="auto"/>
        <w:rPr>
          <w:rFonts w:cs="Arial"/>
        </w:rPr>
      </w:pPr>
    </w:p>
    <w:p w14:paraId="0493D5A7" w14:textId="77777777" w:rsidR="00C974BC" w:rsidRPr="00642260" w:rsidRDefault="00C974BC" w:rsidP="00642260">
      <w:pPr>
        <w:pStyle w:val="berschrift2"/>
        <w:numPr>
          <w:ilvl w:val="0"/>
          <w:numId w:val="25"/>
        </w:numPr>
        <w:spacing w:before="40" w:line="276" w:lineRule="auto"/>
        <w:jc w:val="both"/>
        <w:rPr>
          <w:rStyle w:val="IntensiveHervorhebung"/>
          <w:rFonts w:cs="Arial"/>
          <w:sz w:val="22"/>
          <w:szCs w:val="22"/>
        </w:rPr>
      </w:pPr>
      <w:r w:rsidRPr="00642260">
        <w:rPr>
          <w:rStyle w:val="IntensiveHervorhebung"/>
          <w:rFonts w:cs="Arial"/>
          <w:sz w:val="22"/>
          <w:szCs w:val="22"/>
        </w:rPr>
        <w:t>Vorbereitung der Validierung</w:t>
      </w:r>
    </w:p>
    <w:p w14:paraId="36780DF5" w14:textId="77777777" w:rsidR="00C974BC" w:rsidRPr="00642260" w:rsidRDefault="00C974BC" w:rsidP="00642260">
      <w:pPr>
        <w:spacing w:line="276" w:lineRule="auto"/>
        <w:rPr>
          <w:rFonts w:cs="Arial"/>
        </w:rPr>
      </w:pPr>
      <w:r w:rsidRPr="00642260">
        <w:rPr>
          <w:rFonts w:cs="Arial"/>
          <w:b/>
        </w:rPr>
        <w:t>Verantwortlich</w:t>
      </w:r>
      <w:r w:rsidRPr="00642260">
        <w:rPr>
          <w:rFonts w:cs="Arial"/>
        </w:rPr>
        <w:t>: Nationales Sekretariat und MSG. Dauer: max. 12 Wochen</w:t>
      </w:r>
    </w:p>
    <w:p w14:paraId="36BC42E0" w14:textId="0FB22811" w:rsidR="00C974BC" w:rsidRPr="00642260" w:rsidRDefault="00FB0995" w:rsidP="00642260">
      <w:pPr>
        <w:pStyle w:val="Listenabsatz"/>
        <w:numPr>
          <w:ilvl w:val="0"/>
          <w:numId w:val="26"/>
        </w:numPr>
        <w:spacing w:line="276" w:lineRule="auto"/>
        <w:jc w:val="both"/>
        <w:rPr>
          <w:rFonts w:cs="Arial"/>
        </w:rPr>
      </w:pPr>
      <w:r>
        <w:rPr>
          <w:rFonts w:cs="Arial"/>
        </w:rPr>
        <w:t>D</w:t>
      </w:r>
      <w:r w:rsidR="00C974BC" w:rsidRPr="00642260">
        <w:rPr>
          <w:rFonts w:cs="Arial"/>
        </w:rPr>
        <w:t xml:space="preserve">ie MSG </w:t>
      </w:r>
      <w:r>
        <w:rPr>
          <w:rFonts w:cs="Arial"/>
        </w:rPr>
        <w:t xml:space="preserve">wird </w:t>
      </w:r>
      <w:r w:rsidR="00C974BC" w:rsidRPr="00642260">
        <w:rPr>
          <w:rFonts w:cs="Arial"/>
        </w:rPr>
        <w:t>ermutigt, eine Selbsteinschätzung der Einhaltung des EITI-Standards vorzunehmen (</w:t>
      </w:r>
      <w:r w:rsidR="00273C4E">
        <w:rPr>
          <w:rFonts w:cs="Arial"/>
        </w:rPr>
        <w:t>Prävalidierung</w:t>
      </w:r>
      <w:r w:rsidR="00C974BC" w:rsidRPr="00642260">
        <w:rPr>
          <w:rFonts w:cs="Arial"/>
        </w:rPr>
        <w:t xml:space="preserve">). </w:t>
      </w:r>
    </w:p>
    <w:p w14:paraId="6F5E612A" w14:textId="77777777" w:rsidR="00C974BC" w:rsidRPr="00642260" w:rsidRDefault="00C974BC" w:rsidP="00642260">
      <w:pPr>
        <w:pStyle w:val="Listenabsatz"/>
        <w:numPr>
          <w:ilvl w:val="0"/>
          <w:numId w:val="26"/>
        </w:numPr>
        <w:spacing w:line="276" w:lineRule="auto"/>
        <w:jc w:val="both"/>
        <w:rPr>
          <w:rFonts w:cs="Arial"/>
        </w:rPr>
      </w:pPr>
      <w:r w:rsidRPr="00642260">
        <w:rPr>
          <w:rFonts w:cs="Arial"/>
        </w:rPr>
        <w:t xml:space="preserve">Das nationale Sekretariat stellt entsprechende Nachweise zusammen, einschließlich aller MSG-Protokolle. </w:t>
      </w:r>
    </w:p>
    <w:p w14:paraId="4BDA49F6" w14:textId="3ECF2A9A" w:rsidR="00C974BC" w:rsidRPr="00B66E9C" w:rsidRDefault="00C974BC" w:rsidP="00B66E9C">
      <w:pPr>
        <w:pStyle w:val="Listenabsatz"/>
        <w:numPr>
          <w:ilvl w:val="0"/>
          <w:numId w:val="26"/>
        </w:numPr>
        <w:spacing w:after="120" w:line="276" w:lineRule="auto"/>
        <w:ind w:left="357" w:hanging="357"/>
        <w:jc w:val="both"/>
        <w:rPr>
          <w:rFonts w:cs="Arial"/>
        </w:rPr>
      </w:pPr>
      <w:r w:rsidRPr="00642260">
        <w:rPr>
          <w:rFonts w:cs="Arial"/>
        </w:rPr>
        <w:t>Die Stakeholder werden eingelad</w:t>
      </w:r>
      <w:r w:rsidR="00B66E9C">
        <w:rPr>
          <w:rFonts w:cs="Arial"/>
        </w:rPr>
        <w:t>en, die Unterlagen zu ergänzen.</w:t>
      </w:r>
    </w:p>
    <w:p w14:paraId="105442BA" w14:textId="77777777" w:rsidR="00C974BC" w:rsidRPr="00642260" w:rsidRDefault="00C974BC" w:rsidP="00642260">
      <w:pPr>
        <w:pStyle w:val="berschrift2"/>
        <w:numPr>
          <w:ilvl w:val="0"/>
          <w:numId w:val="25"/>
        </w:numPr>
        <w:spacing w:before="40" w:line="276" w:lineRule="auto"/>
        <w:jc w:val="both"/>
        <w:rPr>
          <w:rStyle w:val="IntensiveHervorhebung"/>
          <w:rFonts w:cs="Arial"/>
          <w:sz w:val="22"/>
          <w:szCs w:val="22"/>
        </w:rPr>
      </w:pPr>
      <w:r w:rsidRPr="00642260">
        <w:rPr>
          <w:rStyle w:val="IntensiveHervorhebung"/>
          <w:rFonts w:cs="Arial"/>
          <w:sz w:val="22"/>
          <w:szCs w:val="22"/>
        </w:rPr>
        <w:t>Datensammlung und Stakeholder-Konsultation</w:t>
      </w:r>
    </w:p>
    <w:p w14:paraId="0B90A3AE" w14:textId="77777777" w:rsidR="00C974BC" w:rsidRPr="00642260" w:rsidRDefault="00C974BC" w:rsidP="00642260">
      <w:pPr>
        <w:spacing w:line="276" w:lineRule="auto"/>
        <w:rPr>
          <w:rFonts w:cs="Arial"/>
        </w:rPr>
      </w:pPr>
      <w:r w:rsidRPr="00642260">
        <w:rPr>
          <w:rFonts w:cs="Arial"/>
          <w:b/>
        </w:rPr>
        <w:t>Verantwortlich</w:t>
      </w:r>
      <w:r w:rsidRPr="00642260">
        <w:rPr>
          <w:rFonts w:cs="Arial"/>
        </w:rPr>
        <w:t>: Internationales Sekretariat. Dauer: max. 8 Wochen</w:t>
      </w:r>
    </w:p>
    <w:p w14:paraId="46E3EFFA" w14:textId="77777777" w:rsidR="00C974BC" w:rsidRPr="00642260" w:rsidRDefault="00C974BC" w:rsidP="00642260">
      <w:pPr>
        <w:pStyle w:val="Listenabsatz"/>
        <w:numPr>
          <w:ilvl w:val="0"/>
          <w:numId w:val="27"/>
        </w:numPr>
        <w:spacing w:line="276" w:lineRule="auto"/>
        <w:jc w:val="both"/>
        <w:rPr>
          <w:rFonts w:cs="Arial"/>
        </w:rPr>
      </w:pPr>
      <w:r w:rsidRPr="00642260">
        <w:rPr>
          <w:rFonts w:cs="Arial"/>
        </w:rPr>
        <w:t>Schreibtischprüfung einschließlich Stakeholder-Konsultation</w:t>
      </w:r>
    </w:p>
    <w:p w14:paraId="32A08A88" w14:textId="28F7AB24" w:rsidR="00A12DC2" w:rsidRPr="002A00F6" w:rsidRDefault="00C974BC" w:rsidP="002A00F6">
      <w:pPr>
        <w:pStyle w:val="Listenabsatz"/>
        <w:numPr>
          <w:ilvl w:val="0"/>
          <w:numId w:val="27"/>
        </w:numPr>
        <w:spacing w:line="276" w:lineRule="auto"/>
        <w:jc w:val="both"/>
        <w:rPr>
          <w:rFonts w:cs="Arial"/>
        </w:rPr>
      </w:pPr>
      <w:r w:rsidRPr="00642260">
        <w:rPr>
          <w:rFonts w:cs="Arial"/>
        </w:rPr>
        <w:t>Besuch Internationales Sekretariat in Berlin inklusive Stakeholder-Konsultation</w:t>
      </w:r>
      <w:r w:rsidR="002A00F6">
        <w:rPr>
          <w:rFonts w:cs="Arial"/>
        </w:rPr>
        <w:t xml:space="preserve"> (</w:t>
      </w:r>
      <w:r w:rsidR="00A12DC2" w:rsidRPr="002A00F6">
        <w:rPr>
          <w:rFonts w:cs="Arial"/>
        </w:rPr>
        <w:t>MSG trägt dazu bei alle interessierten Akteure über den Prozess zu informieren</w:t>
      </w:r>
      <w:r w:rsidR="002A00F6">
        <w:rPr>
          <w:rFonts w:cs="Arial"/>
        </w:rPr>
        <w:t>)</w:t>
      </w:r>
    </w:p>
    <w:p w14:paraId="79418B1B" w14:textId="2CA236E7" w:rsidR="00C974BC" w:rsidRPr="00642260" w:rsidRDefault="00C974BC" w:rsidP="00B66E9C">
      <w:pPr>
        <w:spacing w:after="120" w:line="276" w:lineRule="auto"/>
        <w:rPr>
          <w:rFonts w:cs="Arial"/>
        </w:rPr>
      </w:pPr>
      <w:r w:rsidRPr="00642260">
        <w:rPr>
          <w:rFonts w:cs="Arial"/>
          <w:b/>
        </w:rPr>
        <w:t>Ziel</w:t>
      </w:r>
      <w:r w:rsidRPr="00642260">
        <w:rPr>
          <w:rFonts w:cs="Arial"/>
        </w:rPr>
        <w:t>: Eine erste Bewertung der Fortschritte im Hinblick auf die EITI-Anforderungen</w:t>
      </w:r>
    </w:p>
    <w:p w14:paraId="6282889D" w14:textId="77777777" w:rsidR="00C974BC" w:rsidRPr="00825AA5" w:rsidRDefault="00C974BC" w:rsidP="00825AA5">
      <w:pPr>
        <w:pStyle w:val="berschrift2"/>
        <w:numPr>
          <w:ilvl w:val="0"/>
          <w:numId w:val="25"/>
        </w:numPr>
        <w:spacing w:before="40" w:line="276" w:lineRule="auto"/>
        <w:jc w:val="both"/>
        <w:rPr>
          <w:rStyle w:val="IntensiveHervorhebung"/>
        </w:rPr>
      </w:pPr>
      <w:r w:rsidRPr="00642260">
        <w:rPr>
          <w:rStyle w:val="IntensiveHervorhebung"/>
          <w:rFonts w:cs="Arial"/>
          <w:sz w:val="22"/>
          <w:szCs w:val="22"/>
        </w:rPr>
        <w:t>Unabhängige</w:t>
      </w:r>
      <w:r w:rsidRPr="00825AA5">
        <w:rPr>
          <w:rStyle w:val="IntensiveHervorhebung"/>
        </w:rPr>
        <w:t xml:space="preserve"> </w:t>
      </w:r>
      <w:r w:rsidRPr="00642260">
        <w:rPr>
          <w:rStyle w:val="IntensiveHervorhebung"/>
          <w:rFonts w:cs="Arial"/>
          <w:sz w:val="22"/>
          <w:szCs w:val="22"/>
        </w:rPr>
        <w:t>Validierung</w:t>
      </w:r>
    </w:p>
    <w:p w14:paraId="44BFC7FA" w14:textId="77777777" w:rsidR="00C974BC" w:rsidRPr="00642260" w:rsidRDefault="00C974BC" w:rsidP="00642260">
      <w:pPr>
        <w:spacing w:line="276" w:lineRule="auto"/>
        <w:rPr>
          <w:rFonts w:cs="Arial"/>
        </w:rPr>
      </w:pPr>
      <w:r w:rsidRPr="00642260">
        <w:rPr>
          <w:rFonts w:cs="Arial"/>
          <w:b/>
        </w:rPr>
        <w:t>Verantwortlich</w:t>
      </w:r>
      <w:r w:rsidRPr="00642260">
        <w:rPr>
          <w:rFonts w:cs="Arial"/>
        </w:rPr>
        <w:t xml:space="preserve">: Unabhängiger </w:t>
      </w:r>
      <w:proofErr w:type="spellStart"/>
      <w:r w:rsidRPr="00642260">
        <w:rPr>
          <w:rFonts w:cs="Arial"/>
        </w:rPr>
        <w:t>Validator</w:t>
      </w:r>
      <w:proofErr w:type="spellEnd"/>
      <w:r w:rsidRPr="00642260">
        <w:rPr>
          <w:rFonts w:cs="Arial"/>
        </w:rPr>
        <w:t xml:space="preserve"> (ausgewählt durch Internationales Sekretariat). Dauer max. 8 Wochen.</w:t>
      </w:r>
    </w:p>
    <w:p w14:paraId="0C678C9A" w14:textId="77777777" w:rsidR="00C974BC" w:rsidRPr="00642260" w:rsidRDefault="00C974BC" w:rsidP="00642260">
      <w:pPr>
        <w:pStyle w:val="Listenabsatz"/>
        <w:numPr>
          <w:ilvl w:val="0"/>
          <w:numId w:val="29"/>
        </w:numPr>
        <w:spacing w:line="276" w:lineRule="auto"/>
        <w:jc w:val="both"/>
        <w:rPr>
          <w:rFonts w:cs="Arial"/>
        </w:rPr>
      </w:pPr>
      <w:r w:rsidRPr="00642260">
        <w:rPr>
          <w:rFonts w:cs="Arial"/>
        </w:rPr>
        <w:t>Überprüft die Erstbewertung des internationalen Sekretariats hinsichtlich der Einhaltung des Validierungsleitfadens.</w:t>
      </w:r>
    </w:p>
    <w:p w14:paraId="7B89AE0F" w14:textId="77777777" w:rsidR="00C974BC" w:rsidRPr="00642260" w:rsidRDefault="00C974BC" w:rsidP="00642260">
      <w:pPr>
        <w:pStyle w:val="Listenabsatz"/>
        <w:numPr>
          <w:ilvl w:val="0"/>
          <w:numId w:val="29"/>
        </w:numPr>
        <w:spacing w:line="276" w:lineRule="auto"/>
        <w:jc w:val="both"/>
        <w:rPr>
          <w:rFonts w:cs="Arial"/>
        </w:rPr>
      </w:pPr>
      <w:r w:rsidRPr="00642260">
        <w:rPr>
          <w:rFonts w:cs="Arial"/>
        </w:rPr>
        <w:t>Führt Stichprobenkontrollen und zusätzliche Konsultationen durch, falls erforderlich.</w:t>
      </w:r>
    </w:p>
    <w:p w14:paraId="272F5526" w14:textId="09962E84" w:rsidR="00C974BC" w:rsidRPr="001D3F46" w:rsidRDefault="00C974BC" w:rsidP="001D3F46">
      <w:pPr>
        <w:pStyle w:val="Listenabsatz"/>
        <w:numPr>
          <w:ilvl w:val="0"/>
          <w:numId w:val="29"/>
        </w:numPr>
        <w:spacing w:line="276" w:lineRule="auto"/>
        <w:jc w:val="both"/>
        <w:rPr>
          <w:rFonts w:cs="Arial"/>
        </w:rPr>
      </w:pPr>
      <w:r w:rsidRPr="00642260">
        <w:rPr>
          <w:rFonts w:cs="Arial"/>
        </w:rPr>
        <w:lastRenderedPageBreak/>
        <w:t>Erstellt einen Entwurf des Validierungsberichts</w:t>
      </w:r>
      <w:r w:rsidR="001D3F46">
        <w:rPr>
          <w:rFonts w:cs="Arial"/>
        </w:rPr>
        <w:t xml:space="preserve">. </w:t>
      </w:r>
      <w:r w:rsidRPr="001D3F46">
        <w:rPr>
          <w:rFonts w:cs="Arial"/>
        </w:rPr>
        <w:t xml:space="preserve">Die MSG wird gebeten, zum Entwurf des Validierungsberichts Stellung zu nehmen. </w:t>
      </w:r>
    </w:p>
    <w:p w14:paraId="3AFF6C13" w14:textId="1220F573" w:rsidR="00C974BC" w:rsidRPr="00642260" w:rsidRDefault="00C974BC" w:rsidP="00B66E9C">
      <w:pPr>
        <w:spacing w:after="120" w:line="276" w:lineRule="auto"/>
        <w:jc w:val="both"/>
        <w:rPr>
          <w:rFonts w:cs="Arial"/>
        </w:rPr>
      </w:pPr>
      <w:r w:rsidRPr="00F17436">
        <w:rPr>
          <w:rFonts w:cs="Arial"/>
          <w:b/>
        </w:rPr>
        <w:t>Ziel</w:t>
      </w:r>
      <w:r w:rsidRPr="00F17436">
        <w:rPr>
          <w:rFonts w:cs="Arial"/>
        </w:rPr>
        <w:t xml:space="preserve">: Unter Berücksichtigung der Kommentare der MSG erstellt der </w:t>
      </w:r>
      <w:proofErr w:type="spellStart"/>
      <w:r w:rsidRPr="00F17436">
        <w:rPr>
          <w:rFonts w:cs="Arial"/>
        </w:rPr>
        <w:t>Validator</w:t>
      </w:r>
      <w:proofErr w:type="spellEnd"/>
      <w:r w:rsidRPr="00F17436">
        <w:rPr>
          <w:rFonts w:cs="Arial"/>
        </w:rPr>
        <w:t xml:space="preserve"> einen abschließenden Validierungsbericht.</w:t>
      </w:r>
      <w:r w:rsidR="00F17436" w:rsidRPr="00F17436">
        <w:rPr>
          <w:rFonts w:cs="Arial"/>
        </w:rPr>
        <w:t xml:space="preserve"> Der </w:t>
      </w:r>
      <w:proofErr w:type="spellStart"/>
      <w:r w:rsidR="00F17436" w:rsidRPr="00F17436">
        <w:rPr>
          <w:rFonts w:cs="Arial"/>
        </w:rPr>
        <w:t>Validator</w:t>
      </w:r>
      <w:proofErr w:type="spellEnd"/>
      <w:r w:rsidR="00F17436" w:rsidRPr="00F17436">
        <w:rPr>
          <w:rFonts w:cs="Arial"/>
        </w:rPr>
        <w:t xml:space="preserve"> </w:t>
      </w:r>
      <w:r w:rsidR="00F17436">
        <w:rPr>
          <w:rFonts w:cs="Arial"/>
        </w:rPr>
        <w:t>informiert</w:t>
      </w:r>
      <w:r w:rsidR="00F17436" w:rsidRPr="00F17436">
        <w:rPr>
          <w:rFonts w:cs="Arial"/>
        </w:rPr>
        <w:t xml:space="preserve"> die MSG, wie ihre Kommentare im abschließenden Validierungsbericht behandelt wurden.</w:t>
      </w:r>
    </w:p>
    <w:p w14:paraId="73E1E200" w14:textId="77777777" w:rsidR="00C974BC" w:rsidRPr="00825AA5" w:rsidRDefault="00C974BC" w:rsidP="00825AA5">
      <w:pPr>
        <w:pStyle w:val="berschrift2"/>
        <w:numPr>
          <w:ilvl w:val="0"/>
          <w:numId w:val="25"/>
        </w:numPr>
        <w:spacing w:before="40" w:line="276" w:lineRule="auto"/>
        <w:jc w:val="both"/>
        <w:rPr>
          <w:rStyle w:val="IntensiveHervorhebung"/>
          <w:rFonts w:cs="Arial"/>
          <w:sz w:val="22"/>
          <w:szCs w:val="22"/>
        </w:rPr>
      </w:pPr>
      <w:r w:rsidRPr="00642260">
        <w:rPr>
          <w:rStyle w:val="IntensiveHervorhebung"/>
          <w:rFonts w:cs="Arial"/>
          <w:sz w:val="22"/>
          <w:szCs w:val="22"/>
        </w:rPr>
        <w:t>Prüfung durch EITI-Board</w:t>
      </w:r>
    </w:p>
    <w:p w14:paraId="3BA816AE" w14:textId="77777777" w:rsidR="00C974BC" w:rsidRPr="00642260" w:rsidRDefault="00C974BC" w:rsidP="00642260">
      <w:pPr>
        <w:spacing w:line="276" w:lineRule="auto"/>
        <w:rPr>
          <w:rFonts w:cs="Arial"/>
        </w:rPr>
      </w:pPr>
      <w:r w:rsidRPr="00642260">
        <w:rPr>
          <w:rFonts w:cs="Arial"/>
          <w:b/>
        </w:rPr>
        <w:t>Verantwortlich</w:t>
      </w:r>
      <w:r w:rsidRPr="00642260">
        <w:rPr>
          <w:rFonts w:cs="Arial"/>
        </w:rPr>
        <w:t xml:space="preserve">: EITI-Board. Dauer: variabel. </w:t>
      </w:r>
    </w:p>
    <w:p w14:paraId="3A7AF4A4" w14:textId="77777777" w:rsidR="00C974BC" w:rsidRPr="00642260" w:rsidRDefault="00C974BC" w:rsidP="00642260">
      <w:pPr>
        <w:pStyle w:val="Listenabsatz"/>
        <w:numPr>
          <w:ilvl w:val="0"/>
          <w:numId w:val="31"/>
        </w:numPr>
        <w:spacing w:line="276" w:lineRule="auto"/>
        <w:jc w:val="both"/>
        <w:rPr>
          <w:rFonts w:cs="Arial"/>
        </w:rPr>
      </w:pPr>
      <w:r w:rsidRPr="00642260">
        <w:rPr>
          <w:rFonts w:cs="Arial"/>
        </w:rPr>
        <w:t>Das Validierungskomitee (VC) prüft den endgültigen Validierungsbericht und die dazugehörige Dokumentation.</w:t>
      </w:r>
    </w:p>
    <w:p w14:paraId="1A0812D8" w14:textId="1F93CF4C" w:rsidR="00C974BC" w:rsidRPr="00642260" w:rsidRDefault="00C974BC" w:rsidP="00642260">
      <w:pPr>
        <w:spacing w:line="276" w:lineRule="auto"/>
        <w:rPr>
          <w:rFonts w:cs="Arial"/>
        </w:rPr>
      </w:pPr>
      <w:r w:rsidRPr="00642260">
        <w:rPr>
          <w:rFonts w:cs="Arial"/>
          <w:b/>
        </w:rPr>
        <w:t>Ziel</w:t>
      </w:r>
      <w:r w:rsidRPr="00642260">
        <w:rPr>
          <w:rFonts w:cs="Arial"/>
        </w:rPr>
        <w:t xml:space="preserve">: Das EITI-Board trifft die Entscheidung über die Fortschritte des Landes bei der Erfüllung des Standards. </w:t>
      </w:r>
    </w:p>
    <w:p w14:paraId="42C7A516" w14:textId="77777777" w:rsidR="00C974BC" w:rsidRPr="00642260" w:rsidRDefault="00C974BC" w:rsidP="00642260">
      <w:pPr>
        <w:spacing w:line="276" w:lineRule="auto"/>
        <w:rPr>
          <w:rFonts w:cs="Arial"/>
        </w:rPr>
      </w:pPr>
    </w:p>
    <w:p w14:paraId="27D92F19" w14:textId="6C644355" w:rsidR="00354B5D" w:rsidRPr="00B24B78" w:rsidRDefault="00482E84" w:rsidP="00642260">
      <w:pPr>
        <w:pStyle w:val="1Einrckung"/>
        <w:spacing w:after="120" w:line="276" w:lineRule="auto"/>
        <w:ind w:left="0" w:firstLine="0"/>
        <w:jc w:val="both"/>
        <w:rPr>
          <w:rFonts w:cs="Arial"/>
          <w:b/>
        </w:rPr>
      </w:pPr>
      <w:r w:rsidRPr="00B24B78">
        <w:rPr>
          <w:rFonts w:cs="Arial"/>
          <w:b/>
        </w:rPr>
        <w:t xml:space="preserve">Die nachfolgende Tabelle gibt eine Übersicht über </w:t>
      </w:r>
      <w:r w:rsidR="00CC15D9" w:rsidRPr="00B24B78">
        <w:rPr>
          <w:rFonts w:cs="Arial"/>
          <w:b/>
        </w:rPr>
        <w:t>d</w:t>
      </w:r>
      <w:r w:rsidR="004113A9" w:rsidRPr="00B24B78">
        <w:rPr>
          <w:rFonts w:cs="Arial"/>
          <w:b/>
        </w:rPr>
        <w:t xml:space="preserve">ie nötigen Schritte </w:t>
      </w:r>
      <w:r w:rsidR="00337E09" w:rsidRPr="00B24B78">
        <w:rPr>
          <w:rFonts w:cs="Arial"/>
          <w:b/>
        </w:rPr>
        <w:t xml:space="preserve">und Stichtage </w:t>
      </w:r>
      <w:r w:rsidR="004113A9" w:rsidRPr="00B24B78">
        <w:rPr>
          <w:rFonts w:cs="Arial"/>
          <w:b/>
        </w:rPr>
        <w:t>der</w:t>
      </w:r>
      <w:r w:rsidR="00AE7C4D" w:rsidRPr="00B24B78">
        <w:rPr>
          <w:rFonts w:cs="Arial"/>
          <w:b/>
        </w:rPr>
        <w:t xml:space="preserve"> </w:t>
      </w:r>
      <w:r w:rsidR="004113A9" w:rsidRPr="00B24B78">
        <w:rPr>
          <w:rFonts w:cs="Arial"/>
          <w:b/>
        </w:rPr>
        <w:t xml:space="preserve">Validierung </w:t>
      </w:r>
      <w:r w:rsidR="00F14B2B" w:rsidRPr="00B24B78">
        <w:rPr>
          <w:rFonts w:cs="Arial"/>
          <w:b/>
        </w:rPr>
        <w:t>sowie</w:t>
      </w:r>
      <w:r w:rsidR="004113A9" w:rsidRPr="00B24B78">
        <w:rPr>
          <w:rFonts w:cs="Arial"/>
          <w:b/>
        </w:rPr>
        <w:t xml:space="preserve"> die Rolle der MSG</w:t>
      </w:r>
      <w:r w:rsidR="000812A5" w:rsidRPr="00B24B78">
        <w:rPr>
          <w:rFonts w:cs="Arial"/>
          <w:b/>
        </w:rPr>
        <w:t>:</w:t>
      </w:r>
    </w:p>
    <w:tbl>
      <w:tblPr>
        <w:tblStyle w:val="Tabellenraster"/>
        <w:tblW w:w="14850" w:type="dxa"/>
        <w:tblLayout w:type="fixed"/>
        <w:tblLook w:val="04A0" w:firstRow="1" w:lastRow="0" w:firstColumn="1" w:lastColumn="0" w:noHBand="0" w:noVBand="1"/>
      </w:tblPr>
      <w:tblGrid>
        <w:gridCol w:w="3936"/>
        <w:gridCol w:w="1842"/>
        <w:gridCol w:w="9072"/>
      </w:tblGrid>
      <w:tr w:rsidR="0044578F" w:rsidRPr="00642260" w14:paraId="6A35B840" w14:textId="77777777" w:rsidTr="003D2F4C">
        <w:tc>
          <w:tcPr>
            <w:tcW w:w="3936" w:type="dxa"/>
          </w:tcPr>
          <w:p w14:paraId="66963D01" w14:textId="77777777" w:rsidR="0044578F" w:rsidRPr="00642260" w:rsidRDefault="0044578F" w:rsidP="004B6D02">
            <w:pPr>
              <w:pStyle w:val="1Einrckung"/>
              <w:spacing w:line="276" w:lineRule="auto"/>
              <w:ind w:left="0" w:firstLine="0"/>
              <w:rPr>
                <w:rFonts w:cs="Arial"/>
                <w:b/>
                <w:sz w:val="22"/>
                <w:szCs w:val="22"/>
              </w:rPr>
            </w:pPr>
            <w:r w:rsidRPr="00642260">
              <w:rPr>
                <w:rFonts w:cs="Arial"/>
                <w:b/>
                <w:sz w:val="22"/>
                <w:szCs w:val="22"/>
              </w:rPr>
              <w:t>Arbeitsschritte</w:t>
            </w:r>
          </w:p>
        </w:tc>
        <w:tc>
          <w:tcPr>
            <w:tcW w:w="1842" w:type="dxa"/>
          </w:tcPr>
          <w:p w14:paraId="2CAF3A70" w14:textId="56924EBC" w:rsidR="0044578F" w:rsidRPr="00642260" w:rsidRDefault="0044578F" w:rsidP="004B6D02">
            <w:pPr>
              <w:pStyle w:val="1Einrckung"/>
              <w:spacing w:line="276" w:lineRule="auto"/>
              <w:ind w:left="0" w:firstLine="0"/>
              <w:rPr>
                <w:rFonts w:cs="Arial"/>
                <w:b/>
                <w:sz w:val="22"/>
                <w:szCs w:val="22"/>
              </w:rPr>
            </w:pPr>
            <w:r>
              <w:rPr>
                <w:rFonts w:cs="Arial"/>
                <w:b/>
                <w:sz w:val="22"/>
                <w:szCs w:val="22"/>
              </w:rPr>
              <w:t xml:space="preserve">Spätester </w:t>
            </w:r>
            <w:r w:rsidRPr="00642260">
              <w:rPr>
                <w:rFonts w:cs="Arial"/>
                <w:b/>
                <w:sz w:val="22"/>
                <w:szCs w:val="22"/>
              </w:rPr>
              <w:t>Stichtag</w:t>
            </w:r>
            <w:r w:rsidRPr="00642260">
              <w:rPr>
                <w:rFonts w:cs="Arial"/>
                <w:sz w:val="22"/>
                <w:szCs w:val="22"/>
              </w:rPr>
              <w:t xml:space="preserve"> </w:t>
            </w:r>
          </w:p>
        </w:tc>
        <w:tc>
          <w:tcPr>
            <w:tcW w:w="9072" w:type="dxa"/>
          </w:tcPr>
          <w:p w14:paraId="11D66D8F" w14:textId="77777777" w:rsidR="0044578F" w:rsidRPr="00642260" w:rsidRDefault="0044578F" w:rsidP="004B6D02">
            <w:pPr>
              <w:pStyle w:val="1Einrckung"/>
              <w:spacing w:line="276" w:lineRule="auto"/>
              <w:ind w:left="0" w:firstLine="0"/>
              <w:rPr>
                <w:rFonts w:cs="Arial"/>
                <w:b/>
                <w:sz w:val="22"/>
                <w:szCs w:val="22"/>
              </w:rPr>
            </w:pPr>
            <w:r w:rsidRPr="00642260">
              <w:rPr>
                <w:rFonts w:cs="Arial"/>
                <w:b/>
                <w:sz w:val="22"/>
                <w:szCs w:val="22"/>
              </w:rPr>
              <w:t>Rolle MSG</w:t>
            </w:r>
          </w:p>
        </w:tc>
      </w:tr>
      <w:tr w:rsidR="0044578F" w:rsidRPr="00642260" w14:paraId="08F85696" w14:textId="77777777" w:rsidTr="003D2F4C">
        <w:tc>
          <w:tcPr>
            <w:tcW w:w="3936" w:type="dxa"/>
          </w:tcPr>
          <w:p w14:paraId="168069C8" w14:textId="102BDC63" w:rsidR="0044578F" w:rsidRPr="005122EC" w:rsidRDefault="0044578F" w:rsidP="005122EC">
            <w:pPr>
              <w:pStyle w:val="1Einrckung"/>
              <w:numPr>
                <w:ilvl w:val="0"/>
                <w:numId w:val="31"/>
              </w:numPr>
              <w:spacing w:line="276" w:lineRule="auto"/>
              <w:rPr>
                <w:rFonts w:eastAsiaTheme="majorEastAsia" w:cs="Arial"/>
                <w:sz w:val="22"/>
                <w:szCs w:val="22"/>
              </w:rPr>
            </w:pPr>
            <w:r w:rsidRPr="00E201AF">
              <w:rPr>
                <w:rFonts w:cs="Arial"/>
                <w:sz w:val="22"/>
                <w:szCs w:val="22"/>
              </w:rPr>
              <w:t>Aufarbeitung der Prävalidierung im Nachtragsbericht</w:t>
            </w:r>
            <w:r>
              <w:rPr>
                <w:rFonts w:cs="Arial"/>
                <w:sz w:val="22"/>
                <w:szCs w:val="22"/>
              </w:rPr>
              <w:t xml:space="preserve"> </w:t>
            </w:r>
          </w:p>
          <w:p w14:paraId="5AE7421C" w14:textId="5766CB10" w:rsidR="0044578F" w:rsidRPr="00D66361" w:rsidRDefault="0044578F" w:rsidP="005122EC">
            <w:pPr>
              <w:pStyle w:val="1Einrckung"/>
              <w:numPr>
                <w:ilvl w:val="0"/>
                <w:numId w:val="31"/>
              </w:numPr>
              <w:spacing w:line="276" w:lineRule="auto"/>
              <w:rPr>
                <w:rFonts w:eastAsiaTheme="majorEastAsia" w:cs="Arial"/>
                <w:sz w:val="22"/>
                <w:szCs w:val="22"/>
              </w:rPr>
            </w:pPr>
            <w:r w:rsidRPr="00642260">
              <w:rPr>
                <w:rStyle w:val="Seitenzahl"/>
                <w:rFonts w:eastAsiaTheme="majorEastAsia" w:cs="Arial"/>
                <w:sz w:val="22"/>
                <w:szCs w:val="22"/>
              </w:rPr>
              <w:t>Zusammenstellung der Dokumentation des bisherigen Umsetzungsprozesses und Prüfung auf Vollständigkeit</w:t>
            </w:r>
          </w:p>
        </w:tc>
        <w:tc>
          <w:tcPr>
            <w:tcW w:w="1842" w:type="dxa"/>
          </w:tcPr>
          <w:p w14:paraId="74E01E36" w14:textId="0B86436A" w:rsidR="0044578F" w:rsidRPr="00642260" w:rsidRDefault="0044578F" w:rsidP="005122EC">
            <w:pPr>
              <w:pStyle w:val="1Einrckung"/>
              <w:spacing w:line="276" w:lineRule="auto"/>
              <w:ind w:left="0" w:firstLine="0"/>
              <w:rPr>
                <w:rFonts w:cs="Arial"/>
                <w:sz w:val="22"/>
                <w:szCs w:val="22"/>
              </w:rPr>
            </w:pPr>
            <w:r>
              <w:rPr>
                <w:rFonts w:cs="Arial"/>
                <w:b/>
                <w:sz w:val="22"/>
                <w:szCs w:val="22"/>
              </w:rPr>
              <w:t>3</w:t>
            </w:r>
            <w:r w:rsidRPr="00642260">
              <w:rPr>
                <w:rFonts w:cs="Arial"/>
                <w:b/>
                <w:sz w:val="22"/>
                <w:szCs w:val="22"/>
              </w:rPr>
              <w:t xml:space="preserve">1. </w:t>
            </w:r>
            <w:r>
              <w:rPr>
                <w:rFonts w:cs="Arial"/>
                <w:b/>
                <w:sz w:val="22"/>
                <w:szCs w:val="22"/>
              </w:rPr>
              <w:t xml:space="preserve"> Oktober</w:t>
            </w:r>
            <w:r w:rsidRPr="00642260">
              <w:rPr>
                <w:rFonts w:cs="Arial"/>
                <w:sz w:val="22"/>
                <w:szCs w:val="22"/>
              </w:rPr>
              <w:t xml:space="preserve">, </w:t>
            </w:r>
            <w:r>
              <w:rPr>
                <w:rFonts w:cs="Arial"/>
                <w:sz w:val="22"/>
                <w:szCs w:val="22"/>
              </w:rPr>
              <w:t>(</w:t>
            </w:r>
            <w:r w:rsidRPr="00642260">
              <w:rPr>
                <w:rFonts w:cs="Arial"/>
                <w:sz w:val="22"/>
                <w:szCs w:val="22"/>
              </w:rPr>
              <w:t xml:space="preserve">Beginn </w:t>
            </w:r>
            <w:r w:rsidRPr="005122EC">
              <w:rPr>
                <w:rFonts w:cs="Arial"/>
                <w:sz w:val="22"/>
                <w:szCs w:val="22"/>
              </w:rPr>
              <w:t xml:space="preserve">Validierung  </w:t>
            </w:r>
            <w:r>
              <w:rPr>
                <w:rFonts w:cs="Arial"/>
                <w:sz w:val="22"/>
                <w:szCs w:val="22"/>
              </w:rPr>
              <w:t>0</w:t>
            </w:r>
            <w:r w:rsidRPr="005122EC">
              <w:rPr>
                <w:rFonts w:cs="Arial"/>
                <w:sz w:val="22"/>
                <w:szCs w:val="22"/>
              </w:rPr>
              <w:t>1</w:t>
            </w:r>
            <w:r>
              <w:rPr>
                <w:rFonts w:cs="Arial"/>
                <w:sz w:val="22"/>
                <w:szCs w:val="22"/>
              </w:rPr>
              <w:t>.</w:t>
            </w:r>
            <w:r w:rsidRPr="005122EC">
              <w:rPr>
                <w:rFonts w:cs="Arial"/>
                <w:sz w:val="22"/>
                <w:szCs w:val="22"/>
              </w:rPr>
              <w:t xml:space="preserve"> November</w:t>
            </w:r>
            <w:r>
              <w:rPr>
                <w:rFonts w:cs="Arial"/>
                <w:sz w:val="22"/>
                <w:szCs w:val="22"/>
              </w:rPr>
              <w:t>)</w:t>
            </w:r>
          </w:p>
        </w:tc>
        <w:tc>
          <w:tcPr>
            <w:tcW w:w="9072" w:type="dxa"/>
          </w:tcPr>
          <w:p w14:paraId="11808A1B" w14:textId="77777777" w:rsidR="0044578F" w:rsidRPr="00E70358" w:rsidRDefault="0044578F" w:rsidP="005122EC">
            <w:pPr>
              <w:pStyle w:val="Listenabsatz"/>
              <w:numPr>
                <w:ilvl w:val="0"/>
                <w:numId w:val="31"/>
              </w:numPr>
              <w:spacing w:line="276" w:lineRule="auto"/>
              <w:rPr>
                <w:rFonts w:cs="Arial"/>
                <w:sz w:val="22"/>
              </w:rPr>
            </w:pPr>
            <w:r w:rsidRPr="00E70358">
              <w:rPr>
                <w:rFonts w:cs="Arial"/>
                <w:sz w:val="22"/>
              </w:rPr>
              <w:t>Beschluss Nachtragsbericht</w:t>
            </w:r>
          </w:p>
          <w:p w14:paraId="2FB08F36" w14:textId="191701A3" w:rsidR="0044578F" w:rsidRDefault="0044578F" w:rsidP="004B6D02">
            <w:pPr>
              <w:pStyle w:val="1Einrckung"/>
              <w:numPr>
                <w:ilvl w:val="0"/>
                <w:numId w:val="22"/>
              </w:numPr>
              <w:spacing w:line="276" w:lineRule="auto"/>
              <w:rPr>
                <w:rFonts w:cs="Arial"/>
                <w:sz w:val="22"/>
                <w:szCs w:val="22"/>
              </w:rPr>
            </w:pPr>
            <w:r w:rsidRPr="00642260">
              <w:rPr>
                <w:rFonts w:cs="Arial"/>
                <w:sz w:val="22"/>
                <w:szCs w:val="22"/>
              </w:rPr>
              <w:t xml:space="preserve">Rückmeldung zu </w:t>
            </w:r>
            <w:r>
              <w:rPr>
                <w:rFonts w:cs="Arial"/>
                <w:sz w:val="22"/>
                <w:szCs w:val="22"/>
              </w:rPr>
              <w:t>folgendem Punkten:</w:t>
            </w:r>
          </w:p>
          <w:p w14:paraId="5E6BF52E" w14:textId="77777777" w:rsidR="0044578F" w:rsidRDefault="0044578F" w:rsidP="00C925AC">
            <w:pPr>
              <w:pStyle w:val="1Einrckung"/>
              <w:numPr>
                <w:ilvl w:val="1"/>
                <w:numId w:val="22"/>
              </w:numPr>
              <w:spacing w:line="276" w:lineRule="auto"/>
              <w:rPr>
                <w:rFonts w:cs="Arial"/>
                <w:sz w:val="22"/>
                <w:szCs w:val="22"/>
              </w:rPr>
            </w:pPr>
            <w:r>
              <w:rPr>
                <w:rFonts w:cs="Arial"/>
                <w:sz w:val="22"/>
                <w:szCs w:val="22"/>
              </w:rPr>
              <w:t>Gibt es noch Dokumente zu Veranstaltungen, Präsentationen oder anderen Kommunikationsmaßnahmen, die noch nicht online stehen für die Validierung genutzt werden sollen?</w:t>
            </w:r>
          </w:p>
          <w:p w14:paraId="0CF2C413" w14:textId="77777777" w:rsidR="0044578F" w:rsidRDefault="0044578F" w:rsidP="00C925AC">
            <w:pPr>
              <w:pStyle w:val="1Einrckung"/>
              <w:numPr>
                <w:ilvl w:val="1"/>
                <w:numId w:val="22"/>
              </w:numPr>
              <w:spacing w:line="276" w:lineRule="auto"/>
              <w:rPr>
                <w:rFonts w:cs="Arial"/>
                <w:sz w:val="22"/>
                <w:szCs w:val="22"/>
              </w:rPr>
            </w:pPr>
            <w:r>
              <w:rPr>
                <w:rFonts w:cs="Arial"/>
                <w:sz w:val="22"/>
                <w:szCs w:val="22"/>
              </w:rPr>
              <w:t xml:space="preserve">Gibt es andere Dokumente / Informationen, die </w:t>
            </w:r>
            <w:r w:rsidRPr="00C925AC">
              <w:rPr>
                <w:rFonts w:cs="Arial"/>
                <w:sz w:val="22"/>
                <w:szCs w:val="22"/>
              </w:rPr>
              <w:t>für die Validierung berücksichtigt werden sollen</w:t>
            </w:r>
            <w:r>
              <w:rPr>
                <w:rFonts w:cs="Arial"/>
                <w:sz w:val="22"/>
                <w:szCs w:val="22"/>
              </w:rPr>
              <w:t>?</w:t>
            </w:r>
            <w:r w:rsidRPr="00C925AC">
              <w:rPr>
                <w:rFonts w:cs="Arial"/>
                <w:sz w:val="22"/>
                <w:szCs w:val="22"/>
              </w:rPr>
              <w:t xml:space="preserve"> </w:t>
            </w:r>
          </w:p>
          <w:p w14:paraId="023C4A2B" w14:textId="16E01A81" w:rsidR="0044578F" w:rsidRDefault="0044578F" w:rsidP="00C925AC">
            <w:pPr>
              <w:pStyle w:val="1Einrckung"/>
              <w:numPr>
                <w:ilvl w:val="1"/>
                <w:numId w:val="22"/>
              </w:numPr>
              <w:spacing w:line="276" w:lineRule="auto"/>
              <w:rPr>
                <w:rFonts w:cs="Arial"/>
                <w:sz w:val="22"/>
                <w:szCs w:val="22"/>
              </w:rPr>
            </w:pPr>
            <w:r>
              <w:rPr>
                <w:rFonts w:cs="Arial"/>
                <w:sz w:val="22"/>
                <w:szCs w:val="22"/>
              </w:rPr>
              <w:t xml:space="preserve">Gibt es bestimmte Themen, auf die das int. Sekretariat gesondert hingewiesen werden soll (um beispielsweise auf Sonderthemen hinzuweisen oder andere Beispiele, die über den Standard </w:t>
            </w:r>
            <w:proofErr w:type="gramStart"/>
            <w:r>
              <w:rPr>
                <w:rFonts w:cs="Arial"/>
                <w:sz w:val="22"/>
                <w:szCs w:val="22"/>
              </w:rPr>
              <w:t>hinaus gehen</w:t>
            </w:r>
            <w:proofErr w:type="gramEnd"/>
            <w:r>
              <w:rPr>
                <w:rFonts w:cs="Arial"/>
                <w:sz w:val="22"/>
                <w:szCs w:val="22"/>
              </w:rPr>
              <w:t>)?</w:t>
            </w:r>
          </w:p>
          <w:p w14:paraId="1149664D" w14:textId="77777777" w:rsidR="0044578F" w:rsidRDefault="0044578F" w:rsidP="0044578F">
            <w:pPr>
              <w:pStyle w:val="1Einrckung"/>
              <w:spacing w:line="276" w:lineRule="auto"/>
              <w:rPr>
                <w:rFonts w:cs="Arial"/>
                <w:b/>
                <w:i/>
                <w:sz w:val="22"/>
                <w:szCs w:val="22"/>
              </w:rPr>
            </w:pPr>
            <w:r w:rsidRPr="00897CB4">
              <w:rPr>
                <w:rFonts w:cs="Arial"/>
                <w:b/>
                <w:i/>
                <w:sz w:val="22"/>
                <w:szCs w:val="22"/>
              </w:rPr>
              <w:t>Alle Dokumente, die für die Validierung Berücksichtigung</w:t>
            </w:r>
            <w:r>
              <w:rPr>
                <w:rFonts w:cs="Arial"/>
                <w:b/>
                <w:i/>
                <w:sz w:val="22"/>
                <w:szCs w:val="22"/>
              </w:rPr>
              <w:t xml:space="preserve"> finden </w:t>
            </w:r>
            <w:r w:rsidRPr="00897CB4">
              <w:rPr>
                <w:rFonts w:cs="Arial"/>
                <w:b/>
                <w:i/>
                <w:sz w:val="22"/>
                <w:szCs w:val="22"/>
              </w:rPr>
              <w:t>sollen,</w:t>
            </w:r>
            <w:r>
              <w:rPr>
                <w:rFonts w:cs="Arial"/>
                <w:b/>
                <w:i/>
                <w:sz w:val="22"/>
                <w:szCs w:val="22"/>
              </w:rPr>
              <w:t xml:space="preserve"> müssen bis</w:t>
            </w:r>
          </w:p>
          <w:p w14:paraId="28A1E003" w14:textId="77777777" w:rsidR="0044578F" w:rsidRDefault="0044578F" w:rsidP="0044578F">
            <w:pPr>
              <w:pStyle w:val="1Einrckung"/>
              <w:spacing w:line="276" w:lineRule="auto"/>
              <w:rPr>
                <w:rFonts w:cs="Arial"/>
                <w:b/>
                <w:i/>
                <w:sz w:val="22"/>
                <w:szCs w:val="22"/>
              </w:rPr>
            </w:pPr>
            <w:r w:rsidRPr="00897CB4">
              <w:rPr>
                <w:rFonts w:cs="Arial"/>
                <w:b/>
                <w:i/>
                <w:sz w:val="22"/>
                <w:szCs w:val="22"/>
              </w:rPr>
              <w:t>zum 31.</w:t>
            </w:r>
            <w:r>
              <w:rPr>
                <w:rFonts w:cs="Arial"/>
                <w:b/>
                <w:i/>
                <w:sz w:val="22"/>
                <w:szCs w:val="22"/>
              </w:rPr>
              <w:t xml:space="preserve"> </w:t>
            </w:r>
            <w:r w:rsidRPr="00897CB4">
              <w:rPr>
                <w:rFonts w:cs="Arial"/>
                <w:b/>
                <w:i/>
                <w:sz w:val="22"/>
                <w:szCs w:val="22"/>
              </w:rPr>
              <w:t>Oktober 2018 vorliege</w:t>
            </w:r>
            <w:r>
              <w:rPr>
                <w:rFonts w:cs="Arial"/>
                <w:b/>
                <w:i/>
                <w:sz w:val="22"/>
                <w:szCs w:val="22"/>
              </w:rPr>
              <w:t xml:space="preserve">n, bzw. auf der D-EITI </w:t>
            </w:r>
            <w:r w:rsidRPr="00897CB4">
              <w:rPr>
                <w:rFonts w:cs="Arial"/>
                <w:b/>
                <w:i/>
                <w:sz w:val="22"/>
                <w:szCs w:val="22"/>
              </w:rPr>
              <w:t>Webseite</w:t>
            </w:r>
            <w:r>
              <w:rPr>
                <w:rFonts w:cs="Arial"/>
                <w:b/>
                <w:i/>
                <w:sz w:val="22"/>
                <w:szCs w:val="22"/>
              </w:rPr>
              <w:t xml:space="preserve"> veröffentlicht oder</w:t>
            </w:r>
          </w:p>
          <w:p w14:paraId="2372DF97" w14:textId="6EC0BAEB" w:rsidR="0044578F" w:rsidRPr="00897CB4" w:rsidRDefault="0044578F" w:rsidP="0044578F">
            <w:pPr>
              <w:pStyle w:val="1Einrckung"/>
              <w:spacing w:line="276" w:lineRule="auto"/>
              <w:rPr>
                <w:rFonts w:cs="Arial"/>
                <w:b/>
                <w:i/>
                <w:sz w:val="22"/>
                <w:szCs w:val="22"/>
              </w:rPr>
            </w:pPr>
            <w:r w:rsidRPr="00897CB4">
              <w:rPr>
                <w:rFonts w:cs="Arial"/>
                <w:b/>
                <w:i/>
                <w:sz w:val="22"/>
                <w:szCs w:val="22"/>
              </w:rPr>
              <w:t>verlinkt sein</w:t>
            </w:r>
            <w:r>
              <w:rPr>
                <w:rFonts w:cs="Arial"/>
                <w:b/>
                <w:i/>
                <w:sz w:val="22"/>
                <w:szCs w:val="22"/>
              </w:rPr>
              <w:t>.</w:t>
            </w:r>
          </w:p>
        </w:tc>
      </w:tr>
      <w:tr w:rsidR="0044578F" w:rsidRPr="00642260" w14:paraId="3FE2C773" w14:textId="77777777" w:rsidTr="003D2F4C">
        <w:tc>
          <w:tcPr>
            <w:tcW w:w="3936" w:type="dxa"/>
          </w:tcPr>
          <w:p w14:paraId="3C461475" w14:textId="47E663E0" w:rsidR="0044578F" w:rsidRPr="00642260" w:rsidRDefault="0044578F" w:rsidP="00CE2341">
            <w:pPr>
              <w:pStyle w:val="1Einrckung"/>
              <w:spacing w:line="276" w:lineRule="auto"/>
              <w:ind w:left="0" w:firstLine="0"/>
              <w:rPr>
                <w:rStyle w:val="Seitenzahl"/>
                <w:rFonts w:eastAsiaTheme="majorEastAsia" w:cs="Arial"/>
                <w:sz w:val="22"/>
                <w:szCs w:val="22"/>
              </w:rPr>
            </w:pPr>
            <w:r>
              <w:rPr>
                <w:rStyle w:val="Seitenzahl"/>
                <w:rFonts w:eastAsiaTheme="majorEastAsia" w:cs="Arial"/>
                <w:sz w:val="22"/>
                <w:szCs w:val="22"/>
              </w:rPr>
              <w:t xml:space="preserve">Organisatorische </w:t>
            </w:r>
            <w:r w:rsidRPr="00642260">
              <w:rPr>
                <w:rStyle w:val="Seitenzahl"/>
                <w:rFonts w:eastAsiaTheme="majorEastAsia" w:cs="Arial"/>
                <w:sz w:val="22"/>
                <w:szCs w:val="22"/>
              </w:rPr>
              <w:t xml:space="preserve">Vorbereitung der MSG auf die Validierungsmission des </w:t>
            </w:r>
            <w:r w:rsidRPr="00642260">
              <w:rPr>
                <w:rFonts w:cs="Arial"/>
                <w:sz w:val="22"/>
                <w:szCs w:val="22"/>
              </w:rPr>
              <w:t>internationalen Sekretariat in Deutschland</w:t>
            </w:r>
          </w:p>
        </w:tc>
        <w:tc>
          <w:tcPr>
            <w:tcW w:w="1842" w:type="dxa"/>
          </w:tcPr>
          <w:p w14:paraId="678BA165" w14:textId="08AF10BC" w:rsidR="0044578F" w:rsidRPr="00642260" w:rsidRDefault="0044578F" w:rsidP="0073642C">
            <w:pPr>
              <w:pStyle w:val="1Einrckung"/>
              <w:spacing w:line="276" w:lineRule="auto"/>
              <w:ind w:left="0" w:firstLine="0"/>
              <w:rPr>
                <w:rFonts w:cs="Arial"/>
                <w:b/>
                <w:sz w:val="22"/>
                <w:szCs w:val="22"/>
              </w:rPr>
            </w:pPr>
            <w:r>
              <w:rPr>
                <w:rFonts w:cs="Arial"/>
                <w:b/>
                <w:sz w:val="22"/>
                <w:szCs w:val="22"/>
              </w:rPr>
              <w:t>01. bzw. 12</w:t>
            </w:r>
            <w:r w:rsidRPr="00642260">
              <w:rPr>
                <w:rFonts w:cs="Arial"/>
                <w:b/>
                <w:sz w:val="22"/>
                <w:szCs w:val="22"/>
              </w:rPr>
              <w:t>. November</w:t>
            </w:r>
          </w:p>
        </w:tc>
        <w:tc>
          <w:tcPr>
            <w:tcW w:w="9072" w:type="dxa"/>
          </w:tcPr>
          <w:p w14:paraId="5ACFDE0F" w14:textId="3F21B76A" w:rsidR="0044578F" w:rsidRPr="00642260" w:rsidRDefault="0044578F" w:rsidP="00CE2341">
            <w:pPr>
              <w:pStyle w:val="Listenabsatz"/>
              <w:numPr>
                <w:ilvl w:val="0"/>
                <w:numId w:val="24"/>
              </w:numPr>
              <w:spacing w:line="276" w:lineRule="auto"/>
              <w:rPr>
                <w:rFonts w:cs="Arial"/>
                <w:sz w:val="22"/>
                <w:szCs w:val="22"/>
              </w:rPr>
            </w:pPr>
            <w:r w:rsidRPr="00A12DC2">
              <w:rPr>
                <w:rFonts w:cs="Arial"/>
                <w:b/>
                <w:sz w:val="22"/>
                <w:szCs w:val="22"/>
              </w:rPr>
              <w:t xml:space="preserve">Bis </w:t>
            </w:r>
            <w:r>
              <w:rPr>
                <w:rFonts w:cs="Arial"/>
                <w:b/>
                <w:sz w:val="22"/>
                <w:szCs w:val="22"/>
              </w:rPr>
              <w:t>0</w:t>
            </w:r>
            <w:r w:rsidRPr="00A12DC2">
              <w:rPr>
                <w:rFonts w:cs="Arial"/>
                <w:b/>
                <w:sz w:val="22"/>
                <w:szCs w:val="22"/>
              </w:rPr>
              <w:t>1. November</w:t>
            </w:r>
            <w:r>
              <w:rPr>
                <w:rFonts w:cs="Arial"/>
                <w:sz w:val="22"/>
                <w:szCs w:val="22"/>
              </w:rPr>
              <w:t>: Jede Stakeholder-Gruppe erstellt eine Liste mit Personen außerhalb der MSG</w:t>
            </w:r>
            <w:r w:rsidRPr="00642260">
              <w:rPr>
                <w:rFonts w:cs="Arial"/>
                <w:sz w:val="22"/>
                <w:szCs w:val="22"/>
              </w:rPr>
              <w:t>,</w:t>
            </w:r>
            <w:r>
              <w:rPr>
                <w:rFonts w:cs="Arial"/>
                <w:sz w:val="22"/>
                <w:szCs w:val="22"/>
              </w:rPr>
              <w:t xml:space="preserve"> die</w:t>
            </w:r>
            <w:r w:rsidRPr="00642260">
              <w:rPr>
                <w:rFonts w:cs="Arial"/>
                <w:sz w:val="22"/>
                <w:szCs w:val="22"/>
              </w:rPr>
              <w:t xml:space="preserve"> durch Interviews </w:t>
            </w:r>
            <w:r>
              <w:rPr>
                <w:rFonts w:cs="Arial"/>
                <w:sz w:val="22"/>
                <w:szCs w:val="22"/>
              </w:rPr>
              <w:t>und/oder</w:t>
            </w:r>
            <w:r w:rsidRPr="00642260">
              <w:rPr>
                <w:rFonts w:cs="Arial"/>
                <w:sz w:val="22"/>
                <w:szCs w:val="22"/>
              </w:rPr>
              <w:t xml:space="preserve"> schriftliche Zusen</w:t>
            </w:r>
            <w:r>
              <w:rPr>
                <w:rFonts w:cs="Arial"/>
                <w:sz w:val="22"/>
                <w:szCs w:val="22"/>
              </w:rPr>
              <w:t xml:space="preserve">dungen einen Beitrag zur Validierung leisten </w:t>
            </w:r>
          </w:p>
          <w:p w14:paraId="6444D66C" w14:textId="508BBD64" w:rsidR="0044578F" w:rsidRPr="00642260" w:rsidRDefault="0044578F" w:rsidP="0073642C">
            <w:pPr>
              <w:pStyle w:val="1Einrckung"/>
              <w:numPr>
                <w:ilvl w:val="0"/>
                <w:numId w:val="24"/>
              </w:numPr>
              <w:spacing w:line="276" w:lineRule="auto"/>
              <w:rPr>
                <w:rFonts w:cs="Arial"/>
                <w:sz w:val="22"/>
                <w:szCs w:val="22"/>
              </w:rPr>
            </w:pPr>
            <w:r w:rsidRPr="0073642C">
              <w:rPr>
                <w:rFonts w:cs="Arial"/>
                <w:b/>
                <w:sz w:val="22"/>
                <w:szCs w:val="22"/>
              </w:rPr>
              <w:t>Bis 12. November:</w:t>
            </w:r>
            <w:r>
              <w:rPr>
                <w:rFonts w:cs="Arial"/>
                <w:sz w:val="22"/>
                <w:szCs w:val="22"/>
              </w:rPr>
              <w:t xml:space="preserve"> </w:t>
            </w:r>
            <w:r w:rsidRPr="00642260">
              <w:rPr>
                <w:rFonts w:cs="Arial"/>
                <w:sz w:val="22"/>
                <w:szCs w:val="22"/>
              </w:rPr>
              <w:t>Abstimmung von Terminen für Interviews mit dem int. Sekret</w:t>
            </w:r>
            <w:r>
              <w:rPr>
                <w:rFonts w:cs="Arial"/>
                <w:sz w:val="22"/>
                <w:szCs w:val="22"/>
              </w:rPr>
              <w:t>a</w:t>
            </w:r>
            <w:r w:rsidRPr="00642260">
              <w:rPr>
                <w:rFonts w:cs="Arial"/>
                <w:sz w:val="22"/>
                <w:szCs w:val="22"/>
              </w:rPr>
              <w:t>riat</w:t>
            </w:r>
            <w:r>
              <w:rPr>
                <w:rFonts w:cs="Arial"/>
                <w:sz w:val="22"/>
                <w:szCs w:val="22"/>
              </w:rPr>
              <w:t xml:space="preserve"> (Gruppen und Einzeltermine möglich)</w:t>
            </w:r>
          </w:p>
        </w:tc>
      </w:tr>
      <w:tr w:rsidR="0044578F" w:rsidRPr="00642260" w14:paraId="5ADB51A3" w14:textId="77777777" w:rsidTr="003D2F4C">
        <w:tc>
          <w:tcPr>
            <w:tcW w:w="3936" w:type="dxa"/>
          </w:tcPr>
          <w:p w14:paraId="3A1E6AD8" w14:textId="7968F33E" w:rsidR="0044578F" w:rsidRPr="00642260" w:rsidRDefault="0044578F" w:rsidP="004B6D02">
            <w:pPr>
              <w:pStyle w:val="1Einrckung"/>
              <w:spacing w:line="276" w:lineRule="auto"/>
              <w:ind w:left="0" w:firstLine="0"/>
              <w:rPr>
                <w:rStyle w:val="Seitenzahl"/>
                <w:rFonts w:eastAsiaTheme="majorEastAsia" w:cs="Arial"/>
                <w:sz w:val="22"/>
                <w:szCs w:val="22"/>
              </w:rPr>
            </w:pPr>
            <w:r>
              <w:rPr>
                <w:rStyle w:val="Seitenzahl"/>
                <w:rFonts w:eastAsiaTheme="majorEastAsia" w:cs="Arial"/>
                <w:sz w:val="22"/>
                <w:szCs w:val="22"/>
              </w:rPr>
              <w:lastRenderedPageBreak/>
              <w:t xml:space="preserve">Inhaltliche </w:t>
            </w:r>
            <w:r w:rsidRPr="00642260">
              <w:rPr>
                <w:rStyle w:val="Seitenzahl"/>
                <w:rFonts w:eastAsiaTheme="majorEastAsia" w:cs="Arial"/>
                <w:sz w:val="22"/>
                <w:szCs w:val="22"/>
              </w:rPr>
              <w:t xml:space="preserve">Vorbereitung der MSG auf die Validierungsmission des </w:t>
            </w:r>
            <w:r w:rsidRPr="00642260">
              <w:rPr>
                <w:rFonts w:cs="Arial"/>
                <w:sz w:val="22"/>
                <w:szCs w:val="22"/>
              </w:rPr>
              <w:t>internationalen Sekretariat in Deutschland</w:t>
            </w:r>
          </w:p>
        </w:tc>
        <w:tc>
          <w:tcPr>
            <w:tcW w:w="1842" w:type="dxa"/>
          </w:tcPr>
          <w:p w14:paraId="3BF5BCB5" w14:textId="1B96F12D" w:rsidR="0044578F" w:rsidRPr="00642260" w:rsidRDefault="0044578F" w:rsidP="009274D3">
            <w:pPr>
              <w:pStyle w:val="1Einrckung"/>
              <w:spacing w:line="276" w:lineRule="auto"/>
              <w:ind w:left="0" w:firstLine="0"/>
              <w:rPr>
                <w:rFonts w:cs="Arial"/>
                <w:b/>
                <w:sz w:val="22"/>
                <w:szCs w:val="22"/>
              </w:rPr>
            </w:pPr>
            <w:r>
              <w:rPr>
                <w:rFonts w:cs="Arial"/>
                <w:b/>
                <w:sz w:val="22"/>
                <w:szCs w:val="22"/>
              </w:rPr>
              <w:t>01. -19</w:t>
            </w:r>
            <w:r w:rsidRPr="00642260">
              <w:rPr>
                <w:rFonts w:cs="Arial"/>
                <w:b/>
                <w:sz w:val="22"/>
                <w:szCs w:val="22"/>
              </w:rPr>
              <w:t>. November</w:t>
            </w:r>
          </w:p>
        </w:tc>
        <w:tc>
          <w:tcPr>
            <w:tcW w:w="9072" w:type="dxa"/>
          </w:tcPr>
          <w:p w14:paraId="0C2D50DF" w14:textId="77777777" w:rsidR="0044578F" w:rsidRDefault="0044578F" w:rsidP="0073642C">
            <w:pPr>
              <w:pStyle w:val="1Einrckung"/>
              <w:numPr>
                <w:ilvl w:val="0"/>
                <w:numId w:val="24"/>
              </w:numPr>
              <w:spacing w:line="276" w:lineRule="auto"/>
              <w:rPr>
                <w:rFonts w:cs="Arial"/>
                <w:sz w:val="22"/>
                <w:szCs w:val="22"/>
              </w:rPr>
            </w:pPr>
            <w:r w:rsidRPr="00642260">
              <w:rPr>
                <w:rFonts w:cs="Arial"/>
                <w:sz w:val="22"/>
                <w:szCs w:val="22"/>
              </w:rPr>
              <w:t>D-EITI-Se</w:t>
            </w:r>
            <w:r>
              <w:rPr>
                <w:rFonts w:cs="Arial"/>
                <w:sz w:val="22"/>
                <w:szCs w:val="22"/>
              </w:rPr>
              <w:t>kretariat bietet Vorbereitungst</w:t>
            </w:r>
            <w:r w:rsidRPr="00642260">
              <w:rPr>
                <w:rFonts w:cs="Arial"/>
                <w:sz w:val="22"/>
                <w:szCs w:val="22"/>
              </w:rPr>
              <w:t xml:space="preserve">reffen für alle Stakeholder </w:t>
            </w:r>
            <w:r>
              <w:rPr>
                <w:rFonts w:cs="Arial"/>
                <w:sz w:val="22"/>
                <w:szCs w:val="22"/>
              </w:rPr>
              <w:t xml:space="preserve">innerhalb und außerhalb der MSG </w:t>
            </w:r>
            <w:r w:rsidRPr="00642260">
              <w:rPr>
                <w:rFonts w:cs="Arial"/>
                <w:sz w:val="22"/>
                <w:szCs w:val="22"/>
              </w:rPr>
              <w:t xml:space="preserve">an </w:t>
            </w:r>
          </w:p>
          <w:p w14:paraId="10DC1FD5" w14:textId="67BDE227" w:rsidR="0044578F" w:rsidRPr="00642260" w:rsidRDefault="0044578F" w:rsidP="0073642C">
            <w:pPr>
              <w:pStyle w:val="1Einrckung"/>
              <w:numPr>
                <w:ilvl w:val="0"/>
                <w:numId w:val="24"/>
              </w:numPr>
              <w:spacing w:line="276" w:lineRule="auto"/>
              <w:rPr>
                <w:rFonts w:cs="Arial"/>
                <w:sz w:val="22"/>
                <w:szCs w:val="22"/>
              </w:rPr>
            </w:pPr>
            <w:r>
              <w:rPr>
                <w:rFonts w:cs="Arial"/>
                <w:sz w:val="22"/>
                <w:szCs w:val="22"/>
              </w:rPr>
              <w:t>Alle Stakeholder können neben Interviews auch schriftliche Beiträge für die Validierungsmission bereitstellen</w:t>
            </w:r>
          </w:p>
          <w:p w14:paraId="4A0C746D" w14:textId="68E8DB12" w:rsidR="0044578F" w:rsidRPr="0073642C" w:rsidRDefault="0044578F" w:rsidP="0073642C">
            <w:pPr>
              <w:pStyle w:val="1Einrckung"/>
              <w:numPr>
                <w:ilvl w:val="0"/>
                <w:numId w:val="24"/>
              </w:numPr>
              <w:spacing w:line="276" w:lineRule="auto"/>
              <w:rPr>
                <w:rFonts w:cs="Arial"/>
                <w:sz w:val="22"/>
                <w:szCs w:val="22"/>
              </w:rPr>
            </w:pPr>
            <w:r w:rsidRPr="00642260">
              <w:rPr>
                <w:rFonts w:cs="Arial"/>
                <w:sz w:val="22"/>
                <w:szCs w:val="22"/>
              </w:rPr>
              <w:t xml:space="preserve">Nach Wunsch </w:t>
            </w:r>
            <w:r>
              <w:rPr>
                <w:rFonts w:cs="Arial"/>
                <w:sz w:val="22"/>
                <w:szCs w:val="22"/>
              </w:rPr>
              <w:t xml:space="preserve">der MSG </w:t>
            </w:r>
            <w:r w:rsidRPr="00642260">
              <w:rPr>
                <w:rFonts w:cs="Arial"/>
                <w:sz w:val="22"/>
                <w:szCs w:val="22"/>
              </w:rPr>
              <w:t>stellt das D-EITI-Sekretariat mündliche und/oder schriftliche Rückmeldungen zu relevanten Dokumenten der D-EITI und offenen Fragen im Zusammenhang mit der Validierung bereit</w:t>
            </w:r>
          </w:p>
        </w:tc>
      </w:tr>
      <w:tr w:rsidR="0044578F" w:rsidRPr="00642260" w14:paraId="68382DEF" w14:textId="77777777" w:rsidTr="003D2F4C">
        <w:tc>
          <w:tcPr>
            <w:tcW w:w="3936" w:type="dxa"/>
          </w:tcPr>
          <w:p w14:paraId="2AD7C477" w14:textId="77777777" w:rsidR="0044578F" w:rsidRPr="00642260" w:rsidRDefault="0044578F" w:rsidP="004B6D02">
            <w:pPr>
              <w:pStyle w:val="1Einrckung"/>
              <w:spacing w:line="276" w:lineRule="auto"/>
              <w:ind w:left="0" w:firstLine="0"/>
              <w:rPr>
                <w:rFonts w:cs="Arial"/>
                <w:sz w:val="22"/>
                <w:szCs w:val="22"/>
              </w:rPr>
            </w:pPr>
            <w:r w:rsidRPr="00642260">
              <w:rPr>
                <w:rStyle w:val="Seitenzahl"/>
                <w:rFonts w:eastAsiaTheme="majorEastAsia" w:cs="Arial"/>
                <w:sz w:val="22"/>
                <w:szCs w:val="22"/>
              </w:rPr>
              <w:t xml:space="preserve">Validierungsmission des </w:t>
            </w:r>
            <w:r w:rsidRPr="00642260">
              <w:rPr>
                <w:rFonts w:cs="Arial"/>
                <w:sz w:val="22"/>
                <w:szCs w:val="22"/>
              </w:rPr>
              <w:t>internationalen Sekretariat in Deutschland</w:t>
            </w:r>
          </w:p>
        </w:tc>
        <w:tc>
          <w:tcPr>
            <w:tcW w:w="1842" w:type="dxa"/>
          </w:tcPr>
          <w:p w14:paraId="3298D270" w14:textId="67B96560" w:rsidR="0044578F" w:rsidRPr="00642260" w:rsidRDefault="0044578F" w:rsidP="004B6D02">
            <w:pPr>
              <w:pStyle w:val="1Einrckung"/>
              <w:spacing w:line="276" w:lineRule="auto"/>
              <w:ind w:left="0" w:firstLine="0"/>
              <w:rPr>
                <w:rFonts w:cs="Arial"/>
                <w:sz w:val="22"/>
                <w:szCs w:val="22"/>
              </w:rPr>
            </w:pPr>
            <w:proofErr w:type="spellStart"/>
            <w:r>
              <w:rPr>
                <w:rFonts w:cs="Arial"/>
                <w:b/>
                <w:sz w:val="22"/>
                <w:szCs w:val="22"/>
              </w:rPr>
              <w:t>vorauss</w:t>
            </w:r>
            <w:proofErr w:type="spellEnd"/>
            <w:r>
              <w:rPr>
                <w:rFonts w:cs="Arial"/>
                <w:b/>
                <w:sz w:val="22"/>
                <w:szCs w:val="22"/>
              </w:rPr>
              <w:t>. 19.-23</w:t>
            </w:r>
            <w:r w:rsidRPr="00642260">
              <w:rPr>
                <w:rFonts w:cs="Arial"/>
                <w:b/>
                <w:sz w:val="22"/>
                <w:szCs w:val="22"/>
              </w:rPr>
              <w:t>. November</w:t>
            </w:r>
          </w:p>
        </w:tc>
        <w:tc>
          <w:tcPr>
            <w:tcW w:w="9072" w:type="dxa"/>
          </w:tcPr>
          <w:p w14:paraId="12E14C48" w14:textId="77777777" w:rsidR="0044578F" w:rsidRPr="00642260" w:rsidRDefault="0044578F" w:rsidP="004B6D02">
            <w:pPr>
              <w:pStyle w:val="1Einrckung"/>
              <w:spacing w:after="120" w:line="276" w:lineRule="auto"/>
              <w:ind w:left="0" w:firstLine="0"/>
              <w:rPr>
                <w:rFonts w:cs="Arial"/>
                <w:sz w:val="22"/>
                <w:szCs w:val="22"/>
              </w:rPr>
            </w:pPr>
            <w:r w:rsidRPr="00642260">
              <w:rPr>
                <w:rFonts w:cs="Arial"/>
                <w:sz w:val="22"/>
                <w:szCs w:val="22"/>
              </w:rPr>
              <w:t>Interviews von Stakeholdern innerhalb und außerhalb der MSG mit int. Sekretariat</w:t>
            </w:r>
          </w:p>
        </w:tc>
      </w:tr>
      <w:tr w:rsidR="0044578F" w:rsidRPr="00642260" w14:paraId="3FCD05EC" w14:textId="77777777" w:rsidTr="003D2F4C">
        <w:tc>
          <w:tcPr>
            <w:tcW w:w="3936" w:type="dxa"/>
          </w:tcPr>
          <w:p w14:paraId="2B757000" w14:textId="55F1477E" w:rsidR="0044578F" w:rsidRPr="00DC7C2B" w:rsidRDefault="0044578F" w:rsidP="003952C7">
            <w:pPr>
              <w:pStyle w:val="1Einrckung"/>
              <w:spacing w:line="276" w:lineRule="auto"/>
              <w:ind w:left="0" w:firstLine="0"/>
              <w:rPr>
                <w:rStyle w:val="Seitenzahl"/>
                <w:rFonts w:eastAsiaTheme="majorEastAsia" w:cs="Arial"/>
                <w:sz w:val="22"/>
                <w:szCs w:val="22"/>
              </w:rPr>
            </w:pPr>
            <w:r w:rsidRPr="00DC7C2B">
              <w:rPr>
                <w:rStyle w:val="Seitenzahl"/>
                <w:rFonts w:eastAsiaTheme="majorEastAsia" w:cs="Arial"/>
                <w:sz w:val="22"/>
                <w:szCs w:val="22"/>
              </w:rPr>
              <w:t xml:space="preserve">Vorläufiger Bericht des </w:t>
            </w:r>
            <w:r w:rsidRPr="00DC7C2B">
              <w:rPr>
                <w:rFonts w:cs="Arial"/>
                <w:sz w:val="22"/>
                <w:szCs w:val="22"/>
              </w:rPr>
              <w:t>internationalen Sekretariat</w:t>
            </w:r>
          </w:p>
        </w:tc>
        <w:tc>
          <w:tcPr>
            <w:tcW w:w="1842" w:type="dxa"/>
          </w:tcPr>
          <w:p w14:paraId="53566CB1" w14:textId="4610ADAD" w:rsidR="0044578F" w:rsidRDefault="0044578F" w:rsidP="0007039F">
            <w:pPr>
              <w:pStyle w:val="1Einrckung"/>
              <w:spacing w:line="276" w:lineRule="auto"/>
              <w:ind w:left="0" w:firstLine="0"/>
              <w:rPr>
                <w:rFonts w:cs="Arial"/>
                <w:b/>
              </w:rPr>
            </w:pPr>
            <w:proofErr w:type="spellStart"/>
            <w:r>
              <w:rPr>
                <w:rFonts w:cs="Arial"/>
                <w:b/>
                <w:sz w:val="22"/>
                <w:szCs w:val="22"/>
              </w:rPr>
              <w:t>v</w:t>
            </w:r>
            <w:r w:rsidRPr="003952C7">
              <w:rPr>
                <w:rFonts w:cs="Arial"/>
                <w:b/>
                <w:sz w:val="22"/>
                <w:szCs w:val="22"/>
              </w:rPr>
              <w:t>orauss</w:t>
            </w:r>
            <w:proofErr w:type="spellEnd"/>
            <w:r w:rsidRPr="003952C7">
              <w:rPr>
                <w:rFonts w:cs="Arial"/>
                <w:b/>
                <w:sz w:val="22"/>
                <w:szCs w:val="22"/>
              </w:rPr>
              <w:t xml:space="preserve">. </w:t>
            </w:r>
            <w:r>
              <w:rPr>
                <w:rFonts w:cs="Arial"/>
                <w:b/>
                <w:sz w:val="22"/>
                <w:szCs w:val="22"/>
              </w:rPr>
              <w:t xml:space="preserve">04. Dezember </w:t>
            </w:r>
            <w:r w:rsidRPr="00742FD4">
              <w:rPr>
                <w:rFonts w:cs="Arial"/>
                <w:sz w:val="22"/>
                <w:szCs w:val="22"/>
              </w:rPr>
              <w:t xml:space="preserve">(sechs Wochen nach Besuch in </w:t>
            </w:r>
            <w:proofErr w:type="spellStart"/>
            <w:r w:rsidRPr="00742FD4">
              <w:rPr>
                <w:rFonts w:cs="Arial"/>
                <w:sz w:val="22"/>
                <w:szCs w:val="22"/>
              </w:rPr>
              <w:t>Dtl</w:t>
            </w:r>
            <w:proofErr w:type="spellEnd"/>
            <w:r w:rsidRPr="00742FD4">
              <w:rPr>
                <w:rFonts w:cs="Arial"/>
                <w:sz w:val="22"/>
                <w:szCs w:val="22"/>
              </w:rPr>
              <w:t>.)</w:t>
            </w:r>
          </w:p>
        </w:tc>
        <w:tc>
          <w:tcPr>
            <w:tcW w:w="9072" w:type="dxa"/>
          </w:tcPr>
          <w:p w14:paraId="21F49A37" w14:textId="2CFA7CB7" w:rsidR="0044578F" w:rsidRPr="000F6E2F" w:rsidRDefault="0044578F" w:rsidP="000F6E2F">
            <w:pPr>
              <w:pStyle w:val="1Einrckung"/>
              <w:spacing w:after="120" w:line="276" w:lineRule="auto"/>
              <w:ind w:left="0" w:firstLine="0"/>
              <w:rPr>
                <w:rFonts w:cs="Arial"/>
                <w:i/>
              </w:rPr>
            </w:pPr>
            <w:r w:rsidRPr="000F6E2F">
              <w:rPr>
                <w:rFonts w:cs="Arial"/>
                <w:i/>
                <w:sz w:val="22"/>
              </w:rPr>
              <w:t>--- Bericht wird zur Kenntnis an die MSG geschickt</w:t>
            </w:r>
            <w:r>
              <w:rPr>
                <w:rFonts w:cs="Arial"/>
                <w:i/>
                <w:sz w:val="22"/>
              </w:rPr>
              <w:t xml:space="preserve">. </w:t>
            </w:r>
            <w:r w:rsidRPr="000F6E2F">
              <w:rPr>
                <w:rFonts w:cs="Arial"/>
                <w:i/>
                <w:sz w:val="22"/>
              </w:rPr>
              <w:t xml:space="preserve">Eine Kommentierung ist </w:t>
            </w:r>
            <w:r>
              <w:rPr>
                <w:rFonts w:cs="Arial"/>
                <w:i/>
                <w:sz w:val="22"/>
              </w:rPr>
              <w:t xml:space="preserve">aber </w:t>
            </w:r>
            <w:r w:rsidRPr="000F6E2F">
              <w:rPr>
                <w:rFonts w:cs="Arial"/>
                <w:i/>
                <w:sz w:val="22"/>
              </w:rPr>
              <w:t>erst für den abschließenden Validierungsbericht durch den unabhä</w:t>
            </w:r>
            <w:r w:rsidR="006F7D9C">
              <w:rPr>
                <w:rFonts w:cs="Arial"/>
                <w:i/>
                <w:sz w:val="22"/>
              </w:rPr>
              <w:t xml:space="preserve">ngigen </w:t>
            </w:r>
            <w:proofErr w:type="spellStart"/>
            <w:r w:rsidR="006F7D9C">
              <w:rPr>
                <w:rFonts w:cs="Arial"/>
                <w:i/>
                <w:sz w:val="22"/>
              </w:rPr>
              <w:t>Validator</w:t>
            </w:r>
            <w:proofErr w:type="spellEnd"/>
            <w:r w:rsidR="006F7D9C">
              <w:rPr>
                <w:rFonts w:cs="Arial"/>
                <w:i/>
                <w:sz w:val="22"/>
              </w:rPr>
              <w:t xml:space="preserve"> vorgesehen. --</w:t>
            </w:r>
            <w:bookmarkStart w:id="0" w:name="_GoBack"/>
            <w:bookmarkEnd w:id="0"/>
          </w:p>
        </w:tc>
      </w:tr>
      <w:tr w:rsidR="0044578F" w:rsidRPr="00642260" w14:paraId="3E7B7BA1" w14:textId="77777777" w:rsidTr="003D2F4C">
        <w:tc>
          <w:tcPr>
            <w:tcW w:w="3936" w:type="dxa"/>
          </w:tcPr>
          <w:p w14:paraId="4E472A7A" w14:textId="30513D36" w:rsidR="0044578F" w:rsidRPr="00642260" w:rsidRDefault="0044578F" w:rsidP="004B6D02">
            <w:pPr>
              <w:pStyle w:val="1Einrckung"/>
              <w:spacing w:line="276" w:lineRule="auto"/>
              <w:ind w:left="0" w:firstLine="0"/>
              <w:rPr>
                <w:rFonts w:cs="Arial"/>
                <w:sz w:val="22"/>
                <w:szCs w:val="22"/>
              </w:rPr>
            </w:pPr>
            <w:r w:rsidRPr="00642260">
              <w:rPr>
                <w:rFonts w:cs="Arial"/>
                <w:sz w:val="22"/>
                <w:szCs w:val="22"/>
              </w:rPr>
              <w:t xml:space="preserve">Prüfung durch unabhängigen </w:t>
            </w:r>
            <w:proofErr w:type="spellStart"/>
            <w:r w:rsidRPr="00642260">
              <w:rPr>
                <w:rFonts w:cs="Arial"/>
                <w:sz w:val="22"/>
                <w:szCs w:val="22"/>
              </w:rPr>
              <w:t>Validator</w:t>
            </w:r>
            <w:proofErr w:type="spellEnd"/>
            <w:r>
              <w:rPr>
                <w:rFonts w:cs="Arial"/>
                <w:sz w:val="22"/>
                <w:szCs w:val="22"/>
              </w:rPr>
              <w:t xml:space="preserve"> und Erstellung des Validierungsberichtes</w:t>
            </w:r>
          </w:p>
        </w:tc>
        <w:tc>
          <w:tcPr>
            <w:tcW w:w="1842" w:type="dxa"/>
          </w:tcPr>
          <w:p w14:paraId="1B355F71" w14:textId="410F1039" w:rsidR="0044578F" w:rsidRPr="00642260" w:rsidRDefault="0044578F" w:rsidP="004B6D02">
            <w:pPr>
              <w:pStyle w:val="1Einrckung"/>
              <w:spacing w:line="276" w:lineRule="auto"/>
              <w:ind w:left="0" w:firstLine="0"/>
              <w:rPr>
                <w:rFonts w:cs="Arial"/>
                <w:sz w:val="22"/>
                <w:szCs w:val="22"/>
              </w:rPr>
            </w:pPr>
            <w:proofErr w:type="spellStart"/>
            <w:r>
              <w:rPr>
                <w:rFonts w:cs="Arial"/>
                <w:b/>
                <w:sz w:val="22"/>
                <w:szCs w:val="22"/>
              </w:rPr>
              <w:t>v</w:t>
            </w:r>
            <w:r w:rsidRPr="003952C7">
              <w:rPr>
                <w:rFonts w:cs="Arial"/>
                <w:b/>
                <w:sz w:val="22"/>
                <w:szCs w:val="22"/>
              </w:rPr>
              <w:t>orauss</w:t>
            </w:r>
            <w:proofErr w:type="spellEnd"/>
            <w:r w:rsidRPr="003952C7">
              <w:rPr>
                <w:rFonts w:cs="Arial"/>
                <w:b/>
                <w:sz w:val="22"/>
                <w:szCs w:val="22"/>
              </w:rPr>
              <w:t>.</w:t>
            </w:r>
            <w:r>
              <w:rPr>
                <w:rFonts w:cs="Arial"/>
                <w:b/>
                <w:sz w:val="22"/>
                <w:szCs w:val="22"/>
              </w:rPr>
              <w:t xml:space="preserve"> Januar 2019</w:t>
            </w:r>
          </w:p>
        </w:tc>
        <w:tc>
          <w:tcPr>
            <w:tcW w:w="9072" w:type="dxa"/>
          </w:tcPr>
          <w:p w14:paraId="40A9FA1C" w14:textId="77777777" w:rsidR="0044578F" w:rsidRDefault="0044578F" w:rsidP="004B6D02">
            <w:pPr>
              <w:pStyle w:val="1Einrckung"/>
              <w:numPr>
                <w:ilvl w:val="0"/>
                <w:numId w:val="24"/>
              </w:numPr>
              <w:spacing w:line="276" w:lineRule="auto"/>
              <w:rPr>
                <w:rFonts w:cs="Arial"/>
                <w:sz w:val="22"/>
                <w:szCs w:val="22"/>
              </w:rPr>
            </w:pPr>
            <w:r w:rsidRPr="00642260">
              <w:rPr>
                <w:rFonts w:cs="Arial"/>
                <w:sz w:val="22"/>
                <w:szCs w:val="22"/>
              </w:rPr>
              <w:t xml:space="preserve">Beantwortung von Bestätigungs- und Aufklärungsanfragen und Bereitstellung von zusätzlichen Informationen auf Anfrage. </w:t>
            </w:r>
          </w:p>
          <w:p w14:paraId="01F566F5" w14:textId="53ECCB94" w:rsidR="0044578F" w:rsidRPr="006248A3" w:rsidRDefault="0044578F" w:rsidP="004B6D02">
            <w:pPr>
              <w:pStyle w:val="1Einrckung"/>
              <w:numPr>
                <w:ilvl w:val="0"/>
                <w:numId w:val="24"/>
              </w:numPr>
              <w:spacing w:line="276" w:lineRule="auto"/>
              <w:rPr>
                <w:rFonts w:cs="Arial"/>
                <w:sz w:val="22"/>
                <w:szCs w:val="22"/>
              </w:rPr>
            </w:pPr>
            <w:r w:rsidRPr="006248A3">
              <w:rPr>
                <w:rFonts w:cs="Arial"/>
                <w:sz w:val="22"/>
                <w:szCs w:val="22"/>
              </w:rPr>
              <w:t xml:space="preserve">Ggf. weitere Interviews mit dem unabhängigen </w:t>
            </w:r>
            <w:proofErr w:type="spellStart"/>
            <w:r w:rsidRPr="006248A3">
              <w:rPr>
                <w:rFonts w:cs="Arial"/>
                <w:sz w:val="22"/>
                <w:szCs w:val="22"/>
              </w:rPr>
              <w:t>Validator</w:t>
            </w:r>
            <w:proofErr w:type="spellEnd"/>
          </w:p>
        </w:tc>
      </w:tr>
      <w:tr w:rsidR="0044578F" w:rsidRPr="00642260" w14:paraId="560CDB11" w14:textId="77777777" w:rsidTr="003D2F4C">
        <w:tc>
          <w:tcPr>
            <w:tcW w:w="3936" w:type="dxa"/>
          </w:tcPr>
          <w:p w14:paraId="224292EE" w14:textId="77777777" w:rsidR="0044578F" w:rsidRPr="00642260" w:rsidRDefault="0044578F" w:rsidP="004B6D02">
            <w:pPr>
              <w:pStyle w:val="1Einrckung"/>
              <w:spacing w:line="276" w:lineRule="auto"/>
              <w:ind w:left="0" w:firstLine="0"/>
              <w:rPr>
                <w:rFonts w:cs="Arial"/>
                <w:sz w:val="22"/>
                <w:szCs w:val="22"/>
              </w:rPr>
            </w:pPr>
            <w:r w:rsidRPr="00642260">
              <w:rPr>
                <w:rFonts w:cs="Arial"/>
                <w:sz w:val="22"/>
                <w:szCs w:val="22"/>
              </w:rPr>
              <w:t>Kommentierung des Validierungsberichtes</w:t>
            </w:r>
          </w:p>
        </w:tc>
        <w:tc>
          <w:tcPr>
            <w:tcW w:w="1842" w:type="dxa"/>
          </w:tcPr>
          <w:p w14:paraId="6F0B6ADB" w14:textId="7D8EFE0A" w:rsidR="0044578F" w:rsidRPr="00642260" w:rsidRDefault="0044578F" w:rsidP="004B394E">
            <w:pPr>
              <w:pStyle w:val="1Einrckung"/>
              <w:spacing w:line="276" w:lineRule="auto"/>
              <w:ind w:left="0" w:firstLine="0"/>
              <w:rPr>
                <w:rFonts w:cs="Arial"/>
                <w:b/>
                <w:sz w:val="22"/>
                <w:szCs w:val="22"/>
              </w:rPr>
            </w:pPr>
            <w:r>
              <w:rPr>
                <w:rFonts w:cs="Arial"/>
                <w:b/>
                <w:sz w:val="22"/>
                <w:szCs w:val="22"/>
              </w:rPr>
              <w:t>Drei Wochen nach Zusendung des Berichts</w:t>
            </w:r>
          </w:p>
        </w:tc>
        <w:tc>
          <w:tcPr>
            <w:tcW w:w="9072" w:type="dxa"/>
          </w:tcPr>
          <w:p w14:paraId="7A4F7A1E" w14:textId="215BD0F6" w:rsidR="0044578F" w:rsidRPr="00642260" w:rsidRDefault="0044578F" w:rsidP="002E0E4C">
            <w:pPr>
              <w:pStyle w:val="1Einrckung"/>
              <w:spacing w:after="120" w:line="276" w:lineRule="auto"/>
              <w:rPr>
                <w:rFonts w:cs="Arial"/>
                <w:sz w:val="22"/>
                <w:szCs w:val="22"/>
              </w:rPr>
            </w:pPr>
            <w:r>
              <w:rPr>
                <w:rFonts w:cs="Arial"/>
                <w:sz w:val="22"/>
                <w:szCs w:val="22"/>
              </w:rPr>
              <w:t>Kommentierung</w:t>
            </w:r>
            <w:r w:rsidRPr="00642260">
              <w:rPr>
                <w:rFonts w:cs="Arial"/>
                <w:sz w:val="22"/>
                <w:szCs w:val="22"/>
              </w:rPr>
              <w:t xml:space="preserve"> </w:t>
            </w:r>
            <w:r>
              <w:rPr>
                <w:rFonts w:cs="Arial"/>
                <w:sz w:val="22"/>
                <w:szCs w:val="22"/>
              </w:rPr>
              <w:t xml:space="preserve">des </w:t>
            </w:r>
            <w:r w:rsidRPr="00642260">
              <w:rPr>
                <w:rFonts w:cs="Arial"/>
                <w:sz w:val="22"/>
                <w:szCs w:val="22"/>
              </w:rPr>
              <w:t>Validierungsbericht</w:t>
            </w:r>
            <w:r>
              <w:rPr>
                <w:rFonts w:cs="Arial"/>
                <w:sz w:val="22"/>
                <w:szCs w:val="22"/>
              </w:rPr>
              <w:t>s du</w:t>
            </w:r>
            <w:r w:rsidRPr="00642260">
              <w:rPr>
                <w:rFonts w:cs="Arial"/>
                <w:sz w:val="22"/>
                <w:szCs w:val="22"/>
              </w:rPr>
              <w:t>r</w:t>
            </w:r>
            <w:r>
              <w:rPr>
                <w:rFonts w:cs="Arial"/>
                <w:sz w:val="22"/>
                <w:szCs w:val="22"/>
              </w:rPr>
              <w:t>ch die</w:t>
            </w:r>
            <w:r w:rsidRPr="00642260">
              <w:rPr>
                <w:rFonts w:cs="Arial"/>
                <w:sz w:val="22"/>
                <w:szCs w:val="22"/>
              </w:rPr>
              <w:t xml:space="preserve"> MSG </w:t>
            </w:r>
          </w:p>
        </w:tc>
      </w:tr>
      <w:tr w:rsidR="0044578F" w:rsidRPr="00642260" w14:paraId="479564A2" w14:textId="77777777" w:rsidTr="003D2F4C">
        <w:tc>
          <w:tcPr>
            <w:tcW w:w="3936" w:type="dxa"/>
          </w:tcPr>
          <w:p w14:paraId="463CF2EB" w14:textId="1E3E6AED" w:rsidR="0044578F" w:rsidRPr="00642260" w:rsidRDefault="0044578F" w:rsidP="004B6D02">
            <w:pPr>
              <w:pStyle w:val="1Einrckung"/>
              <w:spacing w:after="120" w:line="276" w:lineRule="auto"/>
              <w:ind w:left="0" w:firstLine="0"/>
              <w:rPr>
                <w:rFonts w:cs="Arial"/>
                <w:sz w:val="22"/>
                <w:szCs w:val="22"/>
              </w:rPr>
            </w:pPr>
            <w:r>
              <w:rPr>
                <w:rFonts w:cs="Arial"/>
                <w:sz w:val="22"/>
                <w:szCs w:val="22"/>
              </w:rPr>
              <w:t>Int. EITI-</w:t>
            </w:r>
            <w:r w:rsidRPr="00642260">
              <w:rPr>
                <w:rFonts w:cs="Arial"/>
                <w:sz w:val="22"/>
                <w:szCs w:val="22"/>
              </w:rPr>
              <w:t>Board gibt Ergebnis der deutschen Validierung bekannt</w:t>
            </w:r>
          </w:p>
        </w:tc>
        <w:tc>
          <w:tcPr>
            <w:tcW w:w="1842" w:type="dxa"/>
          </w:tcPr>
          <w:p w14:paraId="2B3FEFBF" w14:textId="4CCA2AF8" w:rsidR="0044578F" w:rsidRPr="00642260" w:rsidRDefault="0044578F" w:rsidP="004B394E">
            <w:pPr>
              <w:pStyle w:val="1Einrckung"/>
              <w:spacing w:line="276" w:lineRule="auto"/>
              <w:ind w:left="0" w:firstLine="0"/>
              <w:rPr>
                <w:rFonts w:cs="Arial"/>
                <w:sz w:val="22"/>
                <w:szCs w:val="22"/>
              </w:rPr>
            </w:pPr>
            <w:r>
              <w:rPr>
                <w:rFonts w:cs="Arial"/>
                <w:b/>
                <w:sz w:val="22"/>
                <w:szCs w:val="22"/>
              </w:rPr>
              <w:t>Erste Jahreshälfte 2019</w:t>
            </w:r>
            <w:r w:rsidRPr="00642260">
              <w:rPr>
                <w:rFonts w:cs="Arial"/>
                <w:b/>
                <w:sz w:val="22"/>
                <w:szCs w:val="22"/>
              </w:rPr>
              <w:t xml:space="preserve"> </w:t>
            </w:r>
          </w:p>
        </w:tc>
        <w:tc>
          <w:tcPr>
            <w:tcW w:w="9072" w:type="dxa"/>
          </w:tcPr>
          <w:p w14:paraId="1ABC5F01" w14:textId="2760127C" w:rsidR="0044578F" w:rsidRPr="00642260" w:rsidRDefault="0044578F" w:rsidP="004B6D02">
            <w:pPr>
              <w:spacing w:line="276" w:lineRule="auto"/>
              <w:rPr>
                <w:rFonts w:cs="Arial"/>
                <w:sz w:val="22"/>
                <w:szCs w:val="22"/>
              </w:rPr>
            </w:pPr>
            <w:r w:rsidRPr="0088273C">
              <w:rPr>
                <w:rFonts w:cs="Arial"/>
                <w:sz w:val="22"/>
                <w:szCs w:val="22"/>
              </w:rPr>
              <w:t xml:space="preserve">Die MSG kann gegen die Entscheidung des Boards, gemäß Anforderung 8.8, Berufung einlegen. </w:t>
            </w:r>
          </w:p>
        </w:tc>
      </w:tr>
    </w:tbl>
    <w:p w14:paraId="58A22F8B" w14:textId="77777777" w:rsidR="00CC15D9" w:rsidRDefault="00CC15D9" w:rsidP="00642260">
      <w:pPr>
        <w:spacing w:line="276" w:lineRule="auto"/>
      </w:pPr>
    </w:p>
    <w:p w14:paraId="406812B9" w14:textId="77777777" w:rsidR="008B0891" w:rsidRDefault="008B0891" w:rsidP="00642260">
      <w:pPr>
        <w:spacing w:line="276" w:lineRule="auto"/>
      </w:pPr>
    </w:p>
    <w:p w14:paraId="54E6DE58" w14:textId="77777777" w:rsidR="00B97048" w:rsidRPr="00B97048" w:rsidRDefault="00B97048" w:rsidP="00B97048">
      <w:pPr>
        <w:spacing w:line="276" w:lineRule="auto"/>
        <w:jc w:val="both"/>
        <w:rPr>
          <w:highlight w:val="yellow"/>
        </w:rPr>
      </w:pPr>
    </w:p>
    <w:sectPr w:rsidR="00B97048" w:rsidRPr="00B97048" w:rsidSect="00CC15D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418" w:left="1276"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5070" w14:textId="77777777" w:rsidR="001D3F46" w:rsidRDefault="001D3F46" w:rsidP="00E0714A">
      <w:r>
        <w:separator/>
      </w:r>
    </w:p>
  </w:endnote>
  <w:endnote w:type="continuationSeparator" w:id="0">
    <w:p w14:paraId="69C4BCCF" w14:textId="77777777" w:rsidR="001D3F46" w:rsidRDefault="001D3F4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37E2" w14:textId="77777777" w:rsidR="001D3F46" w:rsidRDefault="001D3F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FC9B" w14:textId="77777777" w:rsidR="001D3F46" w:rsidRDefault="001D3F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C010" w14:textId="77777777" w:rsidR="001D3F46" w:rsidRDefault="001D3F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E5211" w14:textId="77777777" w:rsidR="001D3F46" w:rsidRDefault="001D3F46" w:rsidP="00E0714A">
      <w:r>
        <w:separator/>
      </w:r>
    </w:p>
  </w:footnote>
  <w:footnote w:type="continuationSeparator" w:id="0">
    <w:p w14:paraId="36C45553" w14:textId="77777777" w:rsidR="001D3F46" w:rsidRDefault="001D3F46" w:rsidP="00E0714A">
      <w:r>
        <w:continuationSeparator/>
      </w:r>
    </w:p>
  </w:footnote>
  <w:footnote w:id="1">
    <w:p w14:paraId="44EFADEC" w14:textId="77777777" w:rsidR="001D3F46" w:rsidRPr="00C72C56" w:rsidRDefault="001D3F46" w:rsidP="00C974BC">
      <w:pPr>
        <w:pStyle w:val="Funotentext"/>
        <w:rPr>
          <w:sz w:val="20"/>
        </w:rPr>
      </w:pPr>
      <w:r>
        <w:rPr>
          <w:rStyle w:val="Funotenzeichen"/>
        </w:rPr>
        <w:footnoteRef/>
      </w:r>
      <w:r w:rsidRPr="00C72C56">
        <w:rPr>
          <w:sz w:val="20"/>
        </w:rPr>
        <w:t xml:space="preserve"> Überblick über die Validierung </w:t>
      </w:r>
      <w:r>
        <w:rPr>
          <w:sz w:val="20"/>
        </w:rPr>
        <w:t xml:space="preserve">im </w:t>
      </w:r>
      <w:r w:rsidRPr="00C72C56">
        <w:rPr>
          <w:sz w:val="20"/>
        </w:rPr>
        <w:t xml:space="preserve">EITI Standard (S. 39-40): </w:t>
      </w:r>
      <w:hyperlink r:id="rId1" w:history="1">
        <w:r w:rsidRPr="00C72C56">
          <w:rPr>
            <w:rStyle w:val="Hyperlink"/>
            <w:sz w:val="20"/>
          </w:rPr>
          <w:t>https://www.d-eiti.de/wp-content/uploads/2016/05/DE_EITI-STANDARD16v10_Web.pdf</w:t>
        </w:r>
      </w:hyperlink>
      <w:r w:rsidRPr="00C72C56">
        <w:rPr>
          <w:sz w:val="20"/>
        </w:rPr>
        <w:t xml:space="preserve"> </w:t>
      </w:r>
    </w:p>
  </w:footnote>
  <w:footnote w:id="2">
    <w:p w14:paraId="39F01718" w14:textId="1C9C15A1" w:rsidR="001D3F46" w:rsidRPr="006F7D9C" w:rsidRDefault="001D3F46" w:rsidP="00C974BC">
      <w:pPr>
        <w:pStyle w:val="Funotentext"/>
        <w:rPr>
          <w:lang w:val="en-US"/>
        </w:rPr>
      </w:pPr>
      <w:r w:rsidRPr="00C72C56">
        <w:rPr>
          <w:rStyle w:val="Funotenzeichen"/>
          <w:sz w:val="20"/>
        </w:rPr>
        <w:footnoteRef/>
      </w:r>
      <w:r w:rsidRPr="006F7D9C">
        <w:rPr>
          <w:sz w:val="20"/>
          <w:lang w:val="en-US"/>
        </w:rPr>
        <w:t xml:space="preserve"> Validation Booklet: </w:t>
      </w:r>
      <w:hyperlink r:id="rId2" w:history="1">
        <w:r w:rsidRPr="006F7D9C">
          <w:rPr>
            <w:rStyle w:val="Hyperlink"/>
            <w:sz w:val="20"/>
            <w:lang w:val="en-US"/>
          </w:rPr>
          <w:t>https://eiti.org/sites/default/files/documents/validation-booklet-english-2017.pdf</w:t>
        </w:r>
      </w:hyperlink>
      <w:r w:rsidRPr="006F7D9C">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6257" w14:textId="4E0C98A1" w:rsidR="001D3F46" w:rsidRDefault="001D3F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9892"/>
      <w:gridCol w:w="4252"/>
    </w:tblGrid>
    <w:tr w:rsidR="001D3F46" w:rsidRPr="00703906" w14:paraId="43AB5F28" w14:textId="77777777" w:rsidTr="00AE3B6C">
      <w:tc>
        <w:tcPr>
          <w:tcW w:w="3497" w:type="pct"/>
        </w:tcPr>
        <w:p w14:paraId="56F9B8B1" w14:textId="77777777" w:rsidR="001D3F46" w:rsidRPr="00703906" w:rsidRDefault="001D3F46" w:rsidP="00703906">
          <w:pPr>
            <w:tabs>
              <w:tab w:val="right" w:pos="9356"/>
            </w:tabs>
            <w:spacing w:before="660"/>
            <w:rPr>
              <w:rFonts w:eastAsia="Times New Roman" w:cs="Times New Roman"/>
              <w:lang w:eastAsia="de-DE"/>
            </w:rPr>
          </w:pPr>
        </w:p>
      </w:tc>
      <w:tc>
        <w:tcPr>
          <w:tcW w:w="1503" w:type="pct"/>
        </w:tcPr>
        <w:p w14:paraId="452F53B7" w14:textId="77777777" w:rsidR="001D3F46" w:rsidRPr="00703906" w:rsidRDefault="001D3F46" w:rsidP="00703906">
          <w:pPr>
            <w:tabs>
              <w:tab w:val="right" w:pos="9356"/>
            </w:tabs>
            <w:ind w:right="-227"/>
            <w:jc w:val="right"/>
            <w:rPr>
              <w:rFonts w:eastAsia="Times New Roman" w:cs="Times New Roman"/>
              <w:sz w:val="20"/>
              <w:szCs w:val="20"/>
              <w:lang w:eastAsia="de-DE"/>
            </w:rPr>
          </w:pPr>
          <w:r>
            <w:rPr>
              <w:noProof/>
              <w:lang w:eastAsia="de-DE"/>
            </w:rPr>
            <w:drawing>
              <wp:anchor distT="0" distB="0" distL="114300" distR="114300" simplePos="0" relativeHeight="251659264" behindDoc="0" locked="0" layoutInCell="1" allowOverlap="1" wp14:anchorId="2C3131E4" wp14:editId="7653CC6B">
                <wp:simplePos x="0" y="0"/>
                <wp:positionH relativeFrom="column">
                  <wp:posOffset>1233805</wp:posOffset>
                </wp:positionH>
                <wp:positionV relativeFrom="paragraph">
                  <wp:posOffset>194945</wp:posOffset>
                </wp:positionV>
                <wp:extent cx="1800225" cy="302895"/>
                <wp:effectExtent l="0" t="0" r="952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02895"/>
                        </a:xfrm>
                        <a:prstGeom prst="rect">
                          <a:avLst/>
                        </a:prstGeom>
                      </pic:spPr>
                    </pic:pic>
                  </a:graphicData>
                </a:graphic>
                <wp14:sizeRelH relativeFrom="page">
                  <wp14:pctWidth>0</wp14:pctWidth>
                </wp14:sizeRelH>
                <wp14:sizeRelV relativeFrom="page">
                  <wp14:pctHeight>0</wp14:pctHeight>
                </wp14:sizeRelV>
              </wp:anchor>
            </w:drawing>
          </w:r>
        </w:p>
      </w:tc>
    </w:tr>
  </w:tbl>
  <w:p w14:paraId="206E6CE8" w14:textId="5448394C" w:rsidR="001D3F46" w:rsidRPr="00703906" w:rsidRDefault="001D3F46">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A88A" w14:textId="031815E5" w:rsidR="001D3F46" w:rsidRDefault="001D3F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B0A44"/>
    <w:multiLevelType w:val="hybridMultilevel"/>
    <w:tmpl w:val="4E881CD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2470460"/>
    <w:multiLevelType w:val="hybridMultilevel"/>
    <w:tmpl w:val="12D02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76D16E6"/>
    <w:multiLevelType w:val="hybridMultilevel"/>
    <w:tmpl w:val="4C8E7224"/>
    <w:lvl w:ilvl="0" w:tplc="20581AE0">
      <w:start w:val="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BE3511"/>
    <w:multiLevelType w:val="hybridMultilevel"/>
    <w:tmpl w:val="14C4E808"/>
    <w:lvl w:ilvl="0" w:tplc="AFFA77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221412"/>
    <w:multiLevelType w:val="hybridMultilevel"/>
    <w:tmpl w:val="678A7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705E31"/>
    <w:multiLevelType w:val="hybridMultilevel"/>
    <w:tmpl w:val="08C4B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DB3926"/>
    <w:multiLevelType w:val="hybridMultilevel"/>
    <w:tmpl w:val="416E9A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C24F3D"/>
    <w:multiLevelType w:val="hybridMultilevel"/>
    <w:tmpl w:val="F23467A0"/>
    <w:lvl w:ilvl="0" w:tplc="DDDAA20C">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4C94782"/>
    <w:multiLevelType w:val="hybridMultilevel"/>
    <w:tmpl w:val="9370ADAC"/>
    <w:lvl w:ilvl="0" w:tplc="53FC77D6">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31213E"/>
    <w:multiLevelType w:val="hybridMultilevel"/>
    <w:tmpl w:val="251E7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F3029C"/>
    <w:multiLevelType w:val="hybridMultilevel"/>
    <w:tmpl w:val="D5E426C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4C0169"/>
    <w:multiLevelType w:val="hybridMultilevel"/>
    <w:tmpl w:val="82A20B16"/>
    <w:lvl w:ilvl="0" w:tplc="09543FFE">
      <w:start w:val="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4D2527"/>
    <w:multiLevelType w:val="hybridMultilevel"/>
    <w:tmpl w:val="EDD825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9990B3B"/>
    <w:multiLevelType w:val="hybridMultilevel"/>
    <w:tmpl w:val="15328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AED049F"/>
    <w:multiLevelType w:val="hybridMultilevel"/>
    <w:tmpl w:val="F8628F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F2139AB"/>
    <w:multiLevelType w:val="hybridMultilevel"/>
    <w:tmpl w:val="11928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5F6CD1"/>
    <w:multiLevelType w:val="hybridMultilevel"/>
    <w:tmpl w:val="935EE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EC7BF7"/>
    <w:multiLevelType w:val="hybridMultilevel"/>
    <w:tmpl w:val="BAE44AE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6D4959"/>
    <w:multiLevelType w:val="hybridMultilevel"/>
    <w:tmpl w:val="3C8E5E64"/>
    <w:lvl w:ilvl="0" w:tplc="00000003">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1A156F"/>
    <w:multiLevelType w:val="hybridMultilevel"/>
    <w:tmpl w:val="C4E28C30"/>
    <w:lvl w:ilvl="0" w:tplc="EE6C597E">
      <w:start w:val="15"/>
      <w:numFmt w:val="bullet"/>
      <w:lvlText w:val="-"/>
      <w:lvlJc w:val="left"/>
      <w:pPr>
        <w:ind w:left="622" w:hanging="360"/>
      </w:pPr>
      <w:rPr>
        <w:rFonts w:ascii="Arial" w:eastAsiaTheme="majorEastAsia" w:hAnsi="Arial" w:cs="Aria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30" w15:restartNumberingAfterBreak="0">
    <w:nsid w:val="6E243C5B"/>
    <w:multiLevelType w:val="hybridMultilevel"/>
    <w:tmpl w:val="37B81602"/>
    <w:lvl w:ilvl="0" w:tplc="4F722B66">
      <w:start w:val="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72206D"/>
    <w:multiLevelType w:val="hybridMultilevel"/>
    <w:tmpl w:val="C4F45C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59B11AD"/>
    <w:multiLevelType w:val="hybridMultilevel"/>
    <w:tmpl w:val="F60A63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D515E5E"/>
    <w:multiLevelType w:val="hybridMultilevel"/>
    <w:tmpl w:val="00948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7A2D42"/>
    <w:multiLevelType w:val="hybridMultilevel"/>
    <w:tmpl w:val="E4D200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FF65306"/>
    <w:multiLevelType w:val="hybridMultilevel"/>
    <w:tmpl w:val="77A6A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8"/>
  </w:num>
  <w:num w:numId="13">
    <w:abstractNumId w:val="29"/>
  </w:num>
  <w:num w:numId="14">
    <w:abstractNumId w:val="15"/>
  </w:num>
  <w:num w:numId="15">
    <w:abstractNumId w:val="10"/>
  </w:num>
  <w:num w:numId="16">
    <w:abstractNumId w:val="13"/>
  </w:num>
  <w:num w:numId="17">
    <w:abstractNumId w:val="27"/>
  </w:num>
  <w:num w:numId="18">
    <w:abstractNumId w:val="12"/>
  </w:num>
  <w:num w:numId="19">
    <w:abstractNumId w:val="21"/>
  </w:num>
  <w:num w:numId="20">
    <w:abstractNumId w:val="30"/>
  </w:num>
  <w:num w:numId="21">
    <w:abstractNumId w:val="32"/>
  </w:num>
  <w:num w:numId="22">
    <w:abstractNumId w:val="22"/>
  </w:num>
  <w:num w:numId="23">
    <w:abstractNumId w:val="34"/>
  </w:num>
  <w:num w:numId="24">
    <w:abstractNumId w:val="11"/>
  </w:num>
  <w:num w:numId="25">
    <w:abstractNumId w:val="17"/>
  </w:num>
  <w:num w:numId="26">
    <w:abstractNumId w:val="31"/>
  </w:num>
  <w:num w:numId="27">
    <w:abstractNumId w:val="26"/>
  </w:num>
  <w:num w:numId="28">
    <w:abstractNumId w:val="33"/>
  </w:num>
  <w:num w:numId="29">
    <w:abstractNumId w:val="24"/>
  </w:num>
  <w:num w:numId="30">
    <w:abstractNumId w:val="14"/>
  </w:num>
  <w:num w:numId="31">
    <w:abstractNumId w:val="20"/>
  </w:num>
  <w:num w:numId="32">
    <w:abstractNumId w:val="16"/>
  </w:num>
  <w:num w:numId="33">
    <w:abstractNumId w:val="18"/>
  </w:num>
  <w:num w:numId="34">
    <w:abstractNumId w:val="23"/>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D9"/>
    <w:rsid w:val="00025801"/>
    <w:rsid w:val="000327F3"/>
    <w:rsid w:val="000345DC"/>
    <w:rsid w:val="000352D8"/>
    <w:rsid w:val="000501B8"/>
    <w:rsid w:val="0005056C"/>
    <w:rsid w:val="000515C6"/>
    <w:rsid w:val="00061386"/>
    <w:rsid w:val="0007039F"/>
    <w:rsid w:val="00080CB8"/>
    <w:rsid w:val="000812A5"/>
    <w:rsid w:val="000950BF"/>
    <w:rsid w:val="000A4A76"/>
    <w:rsid w:val="000B5117"/>
    <w:rsid w:val="000C1127"/>
    <w:rsid w:val="000D0530"/>
    <w:rsid w:val="000F07DC"/>
    <w:rsid w:val="000F6E2F"/>
    <w:rsid w:val="001000B8"/>
    <w:rsid w:val="00116E1E"/>
    <w:rsid w:val="0014014C"/>
    <w:rsid w:val="0014571F"/>
    <w:rsid w:val="00162C12"/>
    <w:rsid w:val="00187A6D"/>
    <w:rsid w:val="001A6703"/>
    <w:rsid w:val="001B6268"/>
    <w:rsid w:val="001B7A7C"/>
    <w:rsid w:val="001C264C"/>
    <w:rsid w:val="001C7FC7"/>
    <w:rsid w:val="001D3F46"/>
    <w:rsid w:val="001E2497"/>
    <w:rsid w:val="002073D0"/>
    <w:rsid w:val="00223037"/>
    <w:rsid w:val="00232822"/>
    <w:rsid w:val="00235288"/>
    <w:rsid w:val="00261D71"/>
    <w:rsid w:val="00273C4E"/>
    <w:rsid w:val="0028077F"/>
    <w:rsid w:val="002A00F6"/>
    <w:rsid w:val="002A3AC8"/>
    <w:rsid w:val="002B6CB7"/>
    <w:rsid w:val="002B7C41"/>
    <w:rsid w:val="002E0E4C"/>
    <w:rsid w:val="002E4AFB"/>
    <w:rsid w:val="00337E09"/>
    <w:rsid w:val="00354B5D"/>
    <w:rsid w:val="00356FD6"/>
    <w:rsid w:val="00372ADC"/>
    <w:rsid w:val="0038230B"/>
    <w:rsid w:val="003952C7"/>
    <w:rsid w:val="003A794D"/>
    <w:rsid w:val="003B306D"/>
    <w:rsid w:val="003C17CB"/>
    <w:rsid w:val="003D2F4C"/>
    <w:rsid w:val="003E0583"/>
    <w:rsid w:val="003E29DA"/>
    <w:rsid w:val="003E2D0B"/>
    <w:rsid w:val="003E5CAF"/>
    <w:rsid w:val="00404946"/>
    <w:rsid w:val="004070C7"/>
    <w:rsid w:val="004113A9"/>
    <w:rsid w:val="004161E5"/>
    <w:rsid w:val="00436559"/>
    <w:rsid w:val="0044294C"/>
    <w:rsid w:val="0044578F"/>
    <w:rsid w:val="00451EDB"/>
    <w:rsid w:val="00461805"/>
    <w:rsid w:val="00462388"/>
    <w:rsid w:val="00477670"/>
    <w:rsid w:val="00482E84"/>
    <w:rsid w:val="00493F3B"/>
    <w:rsid w:val="004A0B4E"/>
    <w:rsid w:val="004B394E"/>
    <w:rsid w:val="004B6D02"/>
    <w:rsid w:val="004D2340"/>
    <w:rsid w:val="005122EC"/>
    <w:rsid w:val="0051507F"/>
    <w:rsid w:val="00526EDE"/>
    <w:rsid w:val="005A6F83"/>
    <w:rsid w:val="005B7FB0"/>
    <w:rsid w:val="005C1391"/>
    <w:rsid w:val="005C2D66"/>
    <w:rsid w:val="005D5BAE"/>
    <w:rsid w:val="005D785A"/>
    <w:rsid w:val="00612BE9"/>
    <w:rsid w:val="006223F3"/>
    <w:rsid w:val="006248A3"/>
    <w:rsid w:val="00642260"/>
    <w:rsid w:val="006622DB"/>
    <w:rsid w:val="006673F2"/>
    <w:rsid w:val="00667E65"/>
    <w:rsid w:val="00676462"/>
    <w:rsid w:val="00681AE3"/>
    <w:rsid w:val="00697BBC"/>
    <w:rsid w:val="006B1B92"/>
    <w:rsid w:val="006B550F"/>
    <w:rsid w:val="006F7D9C"/>
    <w:rsid w:val="00703489"/>
    <w:rsid w:val="00703906"/>
    <w:rsid w:val="0073642C"/>
    <w:rsid w:val="007411D5"/>
    <w:rsid w:val="00742FD4"/>
    <w:rsid w:val="007511C9"/>
    <w:rsid w:val="00777255"/>
    <w:rsid w:val="007A60E4"/>
    <w:rsid w:val="007D1568"/>
    <w:rsid w:val="007D428F"/>
    <w:rsid w:val="007D7EF7"/>
    <w:rsid w:val="007E6790"/>
    <w:rsid w:val="008013B5"/>
    <w:rsid w:val="008031D1"/>
    <w:rsid w:val="0080748B"/>
    <w:rsid w:val="00813C48"/>
    <w:rsid w:val="0081402A"/>
    <w:rsid w:val="008237D6"/>
    <w:rsid w:val="00825AA5"/>
    <w:rsid w:val="00834AEB"/>
    <w:rsid w:val="00860AED"/>
    <w:rsid w:val="00862B1D"/>
    <w:rsid w:val="0088273C"/>
    <w:rsid w:val="00897CB4"/>
    <w:rsid w:val="008A3EF6"/>
    <w:rsid w:val="008A4ADD"/>
    <w:rsid w:val="008B0891"/>
    <w:rsid w:val="008B70F3"/>
    <w:rsid w:val="008C77A1"/>
    <w:rsid w:val="008D21D3"/>
    <w:rsid w:val="008F1C45"/>
    <w:rsid w:val="008F492C"/>
    <w:rsid w:val="00921676"/>
    <w:rsid w:val="009274D3"/>
    <w:rsid w:val="0092793C"/>
    <w:rsid w:val="009877E4"/>
    <w:rsid w:val="009C5CE2"/>
    <w:rsid w:val="009C6240"/>
    <w:rsid w:val="00A12DC2"/>
    <w:rsid w:val="00A1614D"/>
    <w:rsid w:val="00A42AC4"/>
    <w:rsid w:val="00A804D1"/>
    <w:rsid w:val="00AA3EA9"/>
    <w:rsid w:val="00AB164B"/>
    <w:rsid w:val="00AD1F59"/>
    <w:rsid w:val="00AD2842"/>
    <w:rsid w:val="00AE09A7"/>
    <w:rsid w:val="00AE3B6C"/>
    <w:rsid w:val="00AE52B1"/>
    <w:rsid w:val="00AE7C4D"/>
    <w:rsid w:val="00AF2BF4"/>
    <w:rsid w:val="00B224EE"/>
    <w:rsid w:val="00B24B78"/>
    <w:rsid w:val="00B33845"/>
    <w:rsid w:val="00B52668"/>
    <w:rsid w:val="00B61A3B"/>
    <w:rsid w:val="00B63895"/>
    <w:rsid w:val="00B65A0A"/>
    <w:rsid w:val="00B66E9C"/>
    <w:rsid w:val="00B87C4D"/>
    <w:rsid w:val="00B909F5"/>
    <w:rsid w:val="00B97048"/>
    <w:rsid w:val="00C03D9A"/>
    <w:rsid w:val="00C0753E"/>
    <w:rsid w:val="00C74FC0"/>
    <w:rsid w:val="00C804EF"/>
    <w:rsid w:val="00C80C68"/>
    <w:rsid w:val="00C925AC"/>
    <w:rsid w:val="00C974BC"/>
    <w:rsid w:val="00CC04D3"/>
    <w:rsid w:val="00CC15D9"/>
    <w:rsid w:val="00CE2341"/>
    <w:rsid w:val="00CE3492"/>
    <w:rsid w:val="00CF520A"/>
    <w:rsid w:val="00D556DF"/>
    <w:rsid w:val="00D66361"/>
    <w:rsid w:val="00D702C5"/>
    <w:rsid w:val="00D80955"/>
    <w:rsid w:val="00D932ED"/>
    <w:rsid w:val="00D942D7"/>
    <w:rsid w:val="00DB122C"/>
    <w:rsid w:val="00DC5486"/>
    <w:rsid w:val="00DC56E7"/>
    <w:rsid w:val="00DC7C2B"/>
    <w:rsid w:val="00DE17CB"/>
    <w:rsid w:val="00DE7EF0"/>
    <w:rsid w:val="00DF794E"/>
    <w:rsid w:val="00E010C6"/>
    <w:rsid w:val="00E0714A"/>
    <w:rsid w:val="00E201AF"/>
    <w:rsid w:val="00E23EE1"/>
    <w:rsid w:val="00E362B2"/>
    <w:rsid w:val="00E4793B"/>
    <w:rsid w:val="00E67395"/>
    <w:rsid w:val="00E70358"/>
    <w:rsid w:val="00E725D3"/>
    <w:rsid w:val="00E9716C"/>
    <w:rsid w:val="00EA0A4C"/>
    <w:rsid w:val="00EA4B68"/>
    <w:rsid w:val="00EC1FBA"/>
    <w:rsid w:val="00EE4B71"/>
    <w:rsid w:val="00F07DB0"/>
    <w:rsid w:val="00F14B2B"/>
    <w:rsid w:val="00F17436"/>
    <w:rsid w:val="00F2642B"/>
    <w:rsid w:val="00F30AA3"/>
    <w:rsid w:val="00F4142E"/>
    <w:rsid w:val="00F43B67"/>
    <w:rsid w:val="00F62428"/>
    <w:rsid w:val="00F71A12"/>
    <w:rsid w:val="00FB0995"/>
    <w:rsid w:val="00FC6EA8"/>
    <w:rsid w:val="00FD2E96"/>
    <w:rsid w:val="00FF4F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1EBADCD1"/>
  <w15:docId w15:val="{E81B887A-EA66-47CF-A0AC-405FA050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5D9"/>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aliases w:val="IKI"/>
    <w:basedOn w:val="Absatz-Standardschriftart"/>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3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CC15D9"/>
    <w:pPr>
      <w:ind w:left="720"/>
      <w:contextualSpacing/>
    </w:pPr>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CC15D9"/>
    <w:rPr>
      <w:rFonts w:ascii="Arial" w:hAnsi="Arial"/>
      <w:lang w:eastAsia="en-US"/>
    </w:rPr>
  </w:style>
  <w:style w:type="paragraph" w:styleId="Funotentext">
    <w:name w:val="footnote text"/>
    <w:basedOn w:val="Standard"/>
    <w:link w:val="FunotentextZchn"/>
    <w:uiPriority w:val="99"/>
    <w:unhideWhenUsed/>
    <w:rsid w:val="00C974BC"/>
    <w:pPr>
      <w:jc w:val="both"/>
    </w:pPr>
    <w:rPr>
      <w:rFonts w:eastAsiaTheme="minorEastAsia"/>
      <w:szCs w:val="24"/>
      <w:lang w:eastAsia="de-DE"/>
    </w:rPr>
  </w:style>
  <w:style w:type="character" w:customStyle="1" w:styleId="FunotentextZchn">
    <w:name w:val="Fußnotentext Zchn"/>
    <w:basedOn w:val="Absatz-Standardschriftart"/>
    <w:link w:val="Funotentext"/>
    <w:uiPriority w:val="99"/>
    <w:rsid w:val="00C974BC"/>
    <w:rPr>
      <w:rFonts w:ascii="Arial" w:eastAsiaTheme="minorEastAsia" w:hAnsi="Arial"/>
      <w:szCs w:val="24"/>
      <w:lang w:eastAsia="de-DE"/>
    </w:rPr>
  </w:style>
  <w:style w:type="character" w:styleId="Funotenzeichen">
    <w:name w:val="footnote reference"/>
    <w:basedOn w:val="Absatz-Standardschriftart"/>
    <w:uiPriority w:val="99"/>
    <w:unhideWhenUsed/>
    <w:rsid w:val="00C974BC"/>
    <w:rPr>
      <w:vertAlign w:val="superscript"/>
    </w:rPr>
  </w:style>
  <w:style w:type="character" w:styleId="Hyperlink">
    <w:name w:val="Hyperlink"/>
    <w:basedOn w:val="Absatz-Standardschriftart"/>
    <w:uiPriority w:val="99"/>
    <w:unhideWhenUsed/>
    <w:rsid w:val="00C974BC"/>
    <w:rPr>
      <w:color w:val="0563C1" w:themeColor="hyperlink"/>
      <w:u w:val="single"/>
    </w:rPr>
  </w:style>
  <w:style w:type="character" w:styleId="IntensiveHervorhebung">
    <w:name w:val="Intense Emphasis"/>
    <w:basedOn w:val="Absatz-Standardschriftart"/>
    <w:uiPriority w:val="21"/>
    <w:qFormat/>
    <w:rsid w:val="00C974BC"/>
    <w:rPr>
      <w:i w:val="0"/>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iti.org/sites/default/files/documents/validation-booklet-english-2017.pdf" TargetMode="External"/><Relationship Id="rId1" Type="http://schemas.openxmlformats.org/officeDocument/2006/relationships/hyperlink" Target="https://www.d-eiti.de/wp-content/uploads/2016/05/DE_EITI-STANDARD16v10_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2F66-EAD5-4A38-8BAB-DEE93524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Wessels</dc:creator>
  <cp:keywords/>
  <dc:description/>
  <cp:lastModifiedBy>Raeder, Boris GIZ</cp:lastModifiedBy>
  <cp:revision>2</cp:revision>
  <cp:lastPrinted>2018-09-18T08:39:00Z</cp:lastPrinted>
  <dcterms:created xsi:type="dcterms:W3CDTF">2018-10-17T16:52:00Z</dcterms:created>
  <dcterms:modified xsi:type="dcterms:W3CDTF">2018-10-17T16:52:00Z</dcterms:modified>
</cp:coreProperties>
</file>