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870B" w14:textId="123F0766" w:rsidR="00056339" w:rsidRPr="005625E1" w:rsidRDefault="00056339" w:rsidP="00F12713">
      <w:pPr>
        <w:spacing w:after="0" w:line="240" w:lineRule="auto"/>
        <w:jc w:val="center"/>
        <w:rPr>
          <w:rFonts w:cstheme="minorHAnsi"/>
          <w:b/>
        </w:rPr>
      </w:pPr>
      <w:r w:rsidRPr="005625E1">
        <w:rPr>
          <w:rFonts w:cstheme="minorHAnsi"/>
          <w:b/>
        </w:rPr>
        <w:t xml:space="preserve">Validation of </w:t>
      </w:r>
      <w:r w:rsidR="00C157D2">
        <w:rPr>
          <w:rFonts w:cstheme="minorHAnsi"/>
          <w:b/>
        </w:rPr>
        <w:t>Germany</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4A17CFF7" w:rsidR="00056339" w:rsidRPr="005625E1" w:rsidRDefault="009F58C9" w:rsidP="00F12713">
      <w:pPr>
        <w:spacing w:after="0" w:line="240" w:lineRule="auto"/>
        <w:jc w:val="center"/>
        <w:rPr>
          <w:rFonts w:cstheme="minorHAnsi"/>
        </w:rPr>
      </w:pPr>
      <w:proofErr w:type="spellStart"/>
      <w:r>
        <w:rPr>
          <w:rFonts w:cstheme="minorHAnsi"/>
        </w:rPr>
        <w:t>Cowater</w:t>
      </w:r>
      <w:proofErr w:type="spellEnd"/>
      <w:r>
        <w:rPr>
          <w:rFonts w:cstheme="minorHAnsi"/>
        </w:rPr>
        <w:t xml:space="preserve"> </w:t>
      </w:r>
      <w:proofErr w:type="spellStart"/>
      <w:r>
        <w:rPr>
          <w:rFonts w:cstheme="minorHAnsi"/>
        </w:rPr>
        <w:t>Sogema</w:t>
      </w:r>
      <w:proofErr w:type="spellEnd"/>
      <w:r w:rsidR="00A57147">
        <w:rPr>
          <w:rFonts w:cstheme="minorHAnsi"/>
        </w:rPr>
        <w:t xml:space="preserve"> </w:t>
      </w:r>
      <w:r w:rsidR="00555FC2" w:rsidRPr="005625E1">
        <w:rPr>
          <w:rFonts w:cstheme="minorHAnsi"/>
        </w:rPr>
        <w:t>Independent Validator</w:t>
      </w:r>
    </w:p>
    <w:p w14:paraId="649995B7" w14:textId="7DD342A9" w:rsidR="00056339" w:rsidRPr="005625E1" w:rsidRDefault="00C157D2" w:rsidP="00F12713">
      <w:pPr>
        <w:spacing w:after="0" w:line="240" w:lineRule="auto"/>
        <w:jc w:val="center"/>
        <w:rPr>
          <w:rFonts w:cstheme="minorHAnsi"/>
        </w:rPr>
      </w:pPr>
      <w:r>
        <w:rPr>
          <w:rFonts w:cstheme="minorHAnsi"/>
        </w:rPr>
        <w:t>15</w:t>
      </w:r>
      <w:r w:rsidRPr="00C157D2">
        <w:rPr>
          <w:rFonts w:cstheme="minorHAnsi"/>
          <w:vertAlign w:val="superscript"/>
        </w:rPr>
        <w:t>th</w:t>
      </w:r>
      <w:r>
        <w:rPr>
          <w:rFonts w:cstheme="minorHAnsi"/>
        </w:rPr>
        <w:t xml:space="preserve"> </w:t>
      </w:r>
      <w:proofErr w:type="gramStart"/>
      <w:r>
        <w:rPr>
          <w:rFonts w:cstheme="minorHAnsi"/>
        </w:rPr>
        <w:t>January,</w:t>
      </w:r>
      <w:proofErr w:type="gramEnd"/>
      <w:r>
        <w:rPr>
          <w:rFonts w:cstheme="minorHAnsi"/>
        </w:rPr>
        <w:t xml:space="preserve"> 2019</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6E3CEDAA" w14:textId="77777777" w:rsidR="00422879" w:rsidRDefault="00422879" w:rsidP="00880491">
      <w:pPr>
        <w:widowControl w:val="0"/>
        <w:suppressAutoHyphens/>
        <w:rPr>
          <w:rFonts w:ascii="Calibri" w:hAnsi="Calibri"/>
        </w:rPr>
      </w:pPr>
      <w:r>
        <w:t xml:space="preserve">Germany became an EITI Candidate in February 2016, after submitting its candidature application in December 2015. </w:t>
      </w:r>
      <w:r>
        <w:rPr>
          <w:rFonts w:ascii="Calibri" w:hAnsi="Calibri"/>
        </w:rPr>
        <w:t xml:space="preserve">Germany has published one EITI Report, covering the year 2016. The report was published in August 2017 and updated in October 2018. </w:t>
      </w:r>
      <w:r w:rsidRPr="00E025F0">
        <w:rPr>
          <w:rFonts w:ascii="Calibri" w:hAnsi="Calibri"/>
        </w:rPr>
        <w:t xml:space="preserve">On 4 September 2018, the Board approved Germany’s request for early Validation and agreed that Validation under the 2016 EITI Standard would commence on 1 November 2018. </w:t>
      </w:r>
    </w:p>
    <w:p w14:paraId="3276877F" w14:textId="77777777" w:rsidR="00422879" w:rsidRPr="00880491" w:rsidRDefault="00422879" w:rsidP="00880491">
      <w:pPr>
        <w:widowControl w:val="0"/>
        <w:suppressAutoHyphens/>
        <w:rPr>
          <w:rFonts w:ascii="Calibri" w:hAnsi="Calibri"/>
          <w:bCs/>
        </w:rPr>
      </w:pPr>
      <w:r w:rsidRPr="00880491">
        <w:rPr>
          <w:rFonts w:ascii="Calibri" w:hAnsi="Calibri"/>
          <w:bCs/>
        </w:rPr>
        <w:t>This report presents the findings and initial assessment of the International Secretariat’s data gathering and stakeholder consultations. The International Secretariat has followed the Validation Procedures and applied the Validation Guide in assessing Germany’s progress with the EITI Standard. While the assessment has not yet been reviewed by the MSG or been quality assured, the Secretariat’s preliminary assessment is that four of the requirements of the EITI Standard have not been fully addressed in Germany.  The recommendations and suggested corrective actions identified through this process relate in particular to licenses (see Requirements 2.2 and 2.3) and comprehensiveness (see Requirements 4.1 and 4.5).</w:t>
      </w:r>
    </w:p>
    <w:p w14:paraId="364EC90E" w14:textId="5D741209" w:rsidR="00645AC4" w:rsidRPr="00880491" w:rsidRDefault="00AF1E33" w:rsidP="00880491">
      <w:pPr>
        <w:spacing w:after="100" w:afterAutospacing="1"/>
        <w:rPr>
          <w:rFonts w:ascii="Calibri" w:hAnsi="Calibri"/>
          <w:bCs/>
        </w:rPr>
      </w:pPr>
      <w:r w:rsidRPr="00880491">
        <w:rPr>
          <w:rFonts w:ascii="Calibri" w:hAnsi="Calibri"/>
          <w:bCs/>
        </w:rPr>
        <w:t xml:space="preserve"> This draft validation report follows on from a</w:t>
      </w:r>
      <w:r w:rsidR="002939E2" w:rsidRPr="00880491">
        <w:rPr>
          <w:rFonts w:ascii="Calibri" w:hAnsi="Calibri"/>
          <w:bCs/>
        </w:rPr>
        <w:t xml:space="preserve"> quality assurance</w:t>
      </w:r>
      <w:r w:rsidRPr="00880491">
        <w:rPr>
          <w:rFonts w:ascii="Calibri" w:hAnsi="Calibri"/>
          <w:bCs/>
        </w:rPr>
        <w:t xml:space="preserve"> review of the International Secretariat’s </w:t>
      </w:r>
      <w:r w:rsidR="002939E2" w:rsidRPr="00880491">
        <w:rPr>
          <w:rFonts w:ascii="Calibri" w:hAnsi="Calibri"/>
          <w:bCs/>
        </w:rPr>
        <w:t>initial assessment.  T</w:t>
      </w:r>
      <w:r w:rsidRPr="00880491">
        <w:rPr>
          <w:rFonts w:ascii="Calibri" w:hAnsi="Calibri"/>
          <w:bCs/>
        </w:rPr>
        <w:t xml:space="preserve">he </w:t>
      </w:r>
      <w:r w:rsidR="00422879" w:rsidRPr="00880491">
        <w:rPr>
          <w:rFonts w:ascii="Calibri" w:hAnsi="Calibri"/>
          <w:bCs/>
        </w:rPr>
        <w:t>Validator agrees that Germany has satisf</w:t>
      </w:r>
      <w:r w:rsidR="00A6535B" w:rsidRPr="00880491">
        <w:rPr>
          <w:rFonts w:ascii="Calibri" w:hAnsi="Calibri"/>
          <w:bCs/>
        </w:rPr>
        <w:t>i</w:t>
      </w:r>
      <w:r w:rsidR="00422879" w:rsidRPr="00880491">
        <w:rPr>
          <w:rFonts w:ascii="Calibri" w:hAnsi="Calibri"/>
          <w:bCs/>
        </w:rPr>
        <w:t xml:space="preserve">ed the requirements of the EITI Standard for all but four of the requirements: </w:t>
      </w:r>
      <w:r w:rsidR="002319CA" w:rsidRPr="00880491">
        <w:rPr>
          <w:rFonts w:ascii="Calibri" w:hAnsi="Calibri"/>
          <w:bCs/>
        </w:rPr>
        <w:t>meaningful progress has been made for requirements 2.2, 2.3, 4.1 and 4.5.</w:t>
      </w:r>
    </w:p>
    <w:p w14:paraId="0783FB4D" w14:textId="77777777" w:rsidR="00645AC4" w:rsidRDefault="00645AC4" w:rsidP="00F12713">
      <w:pPr>
        <w:spacing w:after="0" w:line="240" w:lineRule="auto"/>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3265A452" w14:textId="77777777" w:rsidR="00344212" w:rsidRPr="005625E1" w:rsidRDefault="00344212" w:rsidP="00344212">
      <w:pPr>
        <w:spacing w:after="0" w:line="240" w:lineRule="auto"/>
        <w:rPr>
          <w:rFonts w:cstheme="minorHAnsi"/>
        </w:rPr>
      </w:pPr>
    </w:p>
    <w:p w14:paraId="7089AC57" w14:textId="77777777" w:rsidR="002353C5" w:rsidRDefault="002353C5" w:rsidP="00880491">
      <w:pPr>
        <w:rPr>
          <w:rFonts w:ascii="Calibri" w:hAnsi="Calibri"/>
          <w:bCs/>
        </w:rPr>
      </w:pPr>
      <w:r>
        <w:rPr>
          <w:rFonts w:ascii="Calibri" w:hAnsi="Calibri"/>
          <w:bCs/>
        </w:rPr>
        <w:t>The extractive sector is not significant to the German economy as a whole but bears some importance in regions and towns where production is concentrated. There is relatively modest, and mostly declining, production of oil, gas, coal, salt and quarried resources. Consumption of these resources is mainly domestic. Due to its harmful impact on the climate, especially lignite (brown coal) production has been at the centre of controversy in recent years.</w:t>
      </w:r>
      <w:r>
        <w:rPr>
          <w:rStyle w:val="FootnoteReference"/>
          <w:bCs/>
        </w:rPr>
        <w:footnoteReference w:id="1"/>
      </w:r>
      <w:r>
        <w:rPr>
          <w:rFonts w:ascii="Calibri" w:hAnsi="Calibri"/>
          <w:bCs/>
        </w:rPr>
        <w:t xml:space="preserve"> </w:t>
      </w:r>
    </w:p>
    <w:p w14:paraId="6CA578D8" w14:textId="77777777" w:rsidR="002353C5" w:rsidRDefault="002353C5" w:rsidP="002353C5">
      <w:pPr>
        <w:rPr>
          <w:rFonts w:ascii="Calibri" w:hAnsi="Calibri"/>
          <w:bCs/>
        </w:rPr>
      </w:pPr>
      <w:r>
        <w:rPr>
          <w:rFonts w:ascii="Calibri" w:hAnsi="Calibri"/>
          <w:bCs/>
        </w:rPr>
        <w:t>The government is ending its subsidies to hard coal mining at the end of 2018. In 2016, the Federal Government alone subsidised the hard coal industry by over EUR 1.2 billion. In addition, extractive companies benefit from the electricity and energy tax concessions provided by the government.</w:t>
      </w:r>
      <w:r>
        <w:rPr>
          <w:rStyle w:val="FootnoteReference"/>
          <w:bCs/>
        </w:rPr>
        <w:footnoteReference w:id="2"/>
      </w:r>
      <w:r>
        <w:rPr>
          <w:rFonts w:ascii="Calibri" w:hAnsi="Calibri"/>
          <w:bCs/>
        </w:rPr>
        <w:t xml:space="preserve"> Total government gross revenue from the sector is estimated to have been EUR 490 million in 2016.</w:t>
      </w:r>
      <w:r>
        <w:rPr>
          <w:rStyle w:val="FootnoteReference"/>
          <w:bCs/>
        </w:rPr>
        <w:footnoteReference w:id="3"/>
      </w:r>
    </w:p>
    <w:p w14:paraId="129E5DFB" w14:textId="4E9F36A4" w:rsidR="00635030" w:rsidRPr="00880491" w:rsidRDefault="002353C5" w:rsidP="00880491">
      <w:pPr>
        <w:rPr>
          <w:rFonts w:ascii="Calibri" w:hAnsi="Calibri" w:cs="Calibri"/>
          <w:bCs/>
        </w:rPr>
      </w:pPr>
      <w:r w:rsidRPr="00880491">
        <w:rPr>
          <w:rFonts w:ascii="Calibri" w:hAnsi="Calibri" w:cs="Calibri"/>
          <w:bCs/>
        </w:rPr>
        <w:lastRenderedPageBreak/>
        <w:t xml:space="preserve">Germany is a significant importer and consumer of oil, gas and minerals. The government is aiming to reduce its dependence on fossil energy, which will in the </w:t>
      </w:r>
      <w:proofErr w:type="gramStart"/>
      <w:r w:rsidRPr="00880491">
        <w:rPr>
          <w:rFonts w:ascii="Calibri" w:hAnsi="Calibri" w:cs="Calibri"/>
          <w:bCs/>
        </w:rPr>
        <w:t>medium and long term</w:t>
      </w:r>
      <w:proofErr w:type="gramEnd"/>
      <w:r w:rsidRPr="00880491">
        <w:rPr>
          <w:rFonts w:ascii="Calibri" w:hAnsi="Calibri" w:cs="Calibri"/>
          <w:bCs/>
        </w:rPr>
        <w:t xml:space="preserve"> affect oil, gas and coal imports and domestically especially the production of lignite. </w:t>
      </w:r>
    </w:p>
    <w:p w14:paraId="620C5795" w14:textId="4DBF834C" w:rsidR="00392B71" w:rsidRPr="00880491" w:rsidRDefault="00EB73CC" w:rsidP="00880491">
      <w:pPr>
        <w:rPr>
          <w:rFonts w:ascii="Calibri" w:hAnsi="Calibri" w:cs="Calibri"/>
        </w:rPr>
      </w:pPr>
      <w:r w:rsidRPr="00880491">
        <w:rPr>
          <w:rFonts w:ascii="Calibri" w:hAnsi="Calibri" w:cs="Calibri"/>
        </w:rPr>
        <w:t>In line with</w:t>
      </w:r>
      <w:r w:rsidR="004D7FC9" w:rsidRPr="00880491">
        <w:rPr>
          <w:rFonts w:ascii="Calibri" w:hAnsi="Calibri" w:cs="Calibri"/>
        </w:rPr>
        <w:t xml:space="preserve"> the Validation Guide, the International Secretariat carried out the first phase of validation</w:t>
      </w:r>
      <w:r w:rsidR="00E746A6" w:rsidRPr="00880491">
        <w:rPr>
          <w:rFonts w:ascii="Calibri" w:hAnsi="Calibri" w:cs="Calibri"/>
        </w:rPr>
        <w:t>—</w:t>
      </w:r>
      <w:r w:rsidR="004D7FC9" w:rsidRPr="00880491">
        <w:rPr>
          <w:rFonts w:ascii="Calibri" w:hAnsi="Calibri" w:cs="Calibri"/>
        </w:rPr>
        <w:t xml:space="preserve">initial data collection, stakeholder consultations, and preparation of their initial evaluation of progress against the EITI requirements </w:t>
      </w:r>
      <w:r w:rsidR="00A57147" w:rsidRPr="00880491">
        <w:rPr>
          <w:rFonts w:ascii="Calibri" w:hAnsi="Calibri" w:cs="Calibri"/>
        </w:rPr>
        <w:t xml:space="preserve">(the “Initial Assessment”). </w:t>
      </w:r>
      <w:proofErr w:type="spellStart"/>
      <w:r w:rsidR="00696BAB" w:rsidRPr="00880491">
        <w:rPr>
          <w:rFonts w:ascii="Calibri" w:hAnsi="Calibri" w:cs="Calibri"/>
        </w:rPr>
        <w:t>Cowater</w:t>
      </w:r>
      <w:proofErr w:type="spellEnd"/>
      <w:r w:rsidR="00696BAB" w:rsidRPr="00880491">
        <w:rPr>
          <w:rFonts w:ascii="Calibri" w:hAnsi="Calibri" w:cs="Calibri"/>
        </w:rPr>
        <w:t xml:space="preserve"> </w:t>
      </w:r>
      <w:proofErr w:type="spellStart"/>
      <w:r w:rsidR="00696BAB" w:rsidRPr="00880491">
        <w:rPr>
          <w:rFonts w:ascii="Calibri" w:hAnsi="Calibri" w:cs="Calibri"/>
        </w:rPr>
        <w:t>Sogema</w:t>
      </w:r>
      <w:proofErr w:type="spellEnd"/>
      <w:r w:rsidR="004D7FC9" w:rsidRPr="00880491">
        <w:rPr>
          <w:rFonts w:ascii="Calibri" w:hAnsi="Calibri" w:cs="Calibri"/>
        </w:rPr>
        <w:t xml:space="preserve"> was appointed as the independent Validator to evaluate whether the Secretariat’s work </w:t>
      </w:r>
      <w:r w:rsidR="003C7904" w:rsidRPr="00880491">
        <w:rPr>
          <w:rFonts w:ascii="Calibri" w:hAnsi="Calibri" w:cs="Calibri"/>
        </w:rPr>
        <w:t xml:space="preserve">was </w:t>
      </w:r>
      <w:r w:rsidR="004D7FC9" w:rsidRPr="00880491">
        <w:rPr>
          <w:rFonts w:ascii="Calibri" w:hAnsi="Calibri" w:cs="Calibri"/>
        </w:rPr>
        <w:t>carried out in accordance</w:t>
      </w:r>
      <w:r w:rsidR="00696BAB" w:rsidRPr="00880491">
        <w:rPr>
          <w:rFonts w:ascii="Calibri" w:hAnsi="Calibri" w:cs="Calibri"/>
        </w:rPr>
        <w:t xml:space="preserve"> with the Validation Guide. </w:t>
      </w:r>
      <w:proofErr w:type="spellStart"/>
      <w:r w:rsidR="00696BAB" w:rsidRPr="00880491">
        <w:rPr>
          <w:rFonts w:ascii="Calibri" w:hAnsi="Calibri" w:cs="Calibri"/>
        </w:rPr>
        <w:t>Cowater</w:t>
      </w:r>
      <w:proofErr w:type="spellEnd"/>
      <w:r w:rsidR="00696BAB" w:rsidRPr="00880491">
        <w:rPr>
          <w:rFonts w:ascii="Calibri" w:hAnsi="Calibri" w:cs="Calibri"/>
        </w:rPr>
        <w:t xml:space="preserve"> </w:t>
      </w:r>
      <w:proofErr w:type="spellStart"/>
      <w:r w:rsidR="00696BAB" w:rsidRPr="00880491">
        <w:rPr>
          <w:rFonts w:ascii="Calibri" w:hAnsi="Calibri" w:cs="Calibri"/>
        </w:rPr>
        <w:t>Sogema’s</w:t>
      </w:r>
      <w:proofErr w:type="spellEnd"/>
      <w:r w:rsidR="004D7FC9" w:rsidRPr="00880491">
        <w:rPr>
          <w:rFonts w:ascii="Calibri" w:hAnsi="Calibri" w:cs="Calibri"/>
        </w:rPr>
        <w:t xml:space="preserve"> </w:t>
      </w:r>
      <w:r w:rsidR="00783488" w:rsidRPr="00880491">
        <w:rPr>
          <w:rFonts w:ascii="Calibri" w:hAnsi="Calibri" w:cs="Calibri"/>
        </w:rPr>
        <w:t xml:space="preserve">principal responsibilities as Validator are to </w:t>
      </w:r>
      <w:r w:rsidR="004D7FC9" w:rsidRPr="00880491">
        <w:rPr>
          <w:rFonts w:ascii="Calibri" w:hAnsi="Calibri" w:cs="Calibri"/>
        </w:rPr>
        <w:t>review and amend the Initial Assessment, as needed, and</w:t>
      </w:r>
      <w:r w:rsidR="007D33F8" w:rsidRPr="00880491">
        <w:rPr>
          <w:rFonts w:ascii="Calibri" w:hAnsi="Calibri" w:cs="Calibri"/>
        </w:rPr>
        <w:t xml:space="preserve"> to</w:t>
      </w:r>
      <w:r w:rsidR="004D7FC9" w:rsidRPr="00880491">
        <w:rPr>
          <w:rFonts w:ascii="Calibri" w:hAnsi="Calibri" w:cs="Calibri"/>
        </w:rPr>
        <w:t xml:space="preserve"> summarize its independent review in </w:t>
      </w:r>
      <w:r w:rsidR="00783488" w:rsidRPr="00880491">
        <w:rPr>
          <w:rFonts w:ascii="Calibri" w:hAnsi="Calibri" w:cs="Calibri"/>
        </w:rPr>
        <w:t xml:space="preserve">this </w:t>
      </w:r>
      <w:r w:rsidR="004D7FC9" w:rsidRPr="00880491">
        <w:rPr>
          <w:rFonts w:ascii="Calibri" w:hAnsi="Calibri" w:cs="Calibri"/>
        </w:rPr>
        <w:t>Validation Report for submission to the Board</w:t>
      </w:r>
      <w:r w:rsidR="007D33F8" w:rsidRPr="00880491">
        <w:rPr>
          <w:rFonts w:ascii="Calibri" w:hAnsi="Calibri" w:cs="Calibri"/>
        </w:rPr>
        <w:t xml:space="preserve"> through the Validation Committee</w:t>
      </w:r>
      <w:r w:rsidR="004D7FC9" w:rsidRPr="00880491">
        <w:rPr>
          <w:rFonts w:ascii="Calibri" w:hAnsi="Calibri" w:cs="Calibri"/>
        </w:rPr>
        <w:t xml:space="preserve">.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7014EBA" w14:textId="096C091D" w:rsidR="00572CE5" w:rsidRPr="00880491" w:rsidRDefault="00F64F77" w:rsidP="00880491">
      <w:pPr>
        <w:widowControl w:val="0"/>
        <w:suppressAutoHyphens/>
        <w:rPr>
          <w:rFonts w:eastAsia="Times New Roman" w:cstheme="minorHAnsi"/>
          <w:bCs/>
          <w:color w:val="FF0000"/>
          <w:highlight w:val="yellow"/>
          <w:lang w:eastAsia="fr-FR"/>
        </w:rPr>
      </w:pPr>
      <w:r w:rsidRPr="005625E1">
        <w:rPr>
          <w:rFonts w:cstheme="minorHAnsi"/>
        </w:rPr>
        <w:t>The Secretariat</w:t>
      </w:r>
      <w:r w:rsidR="004D7FC9" w:rsidRPr="005625E1">
        <w:rPr>
          <w:rFonts w:cstheme="minorHAnsi"/>
        </w:rPr>
        <w:t xml:space="preserve">’s Initial Assessment was transmitted to </w:t>
      </w:r>
      <w:proofErr w:type="spellStart"/>
      <w:r w:rsidR="00696BAB">
        <w:rPr>
          <w:rFonts w:cstheme="minorHAnsi"/>
        </w:rPr>
        <w:t>Cowater</w:t>
      </w:r>
      <w:proofErr w:type="spellEnd"/>
      <w:r w:rsidR="00696BAB">
        <w:rPr>
          <w:rFonts w:cstheme="minorHAnsi"/>
        </w:rPr>
        <w:t xml:space="preserve"> </w:t>
      </w:r>
      <w:proofErr w:type="spellStart"/>
      <w:r w:rsidR="00696BAB">
        <w:rPr>
          <w:rFonts w:cstheme="minorHAnsi"/>
        </w:rPr>
        <w:t>Sogema</w:t>
      </w:r>
      <w:proofErr w:type="spellEnd"/>
      <w:r w:rsidR="00696BAB">
        <w:rPr>
          <w:rFonts w:cstheme="minorHAnsi"/>
        </w:rPr>
        <w:t xml:space="preserve"> </w:t>
      </w:r>
      <w:r w:rsidR="004D7FC9" w:rsidRPr="009B0F3B">
        <w:rPr>
          <w:rFonts w:cstheme="minorHAnsi"/>
        </w:rPr>
        <w:t>on</w:t>
      </w:r>
      <w:r w:rsidR="00321499" w:rsidRPr="009B0F3B">
        <w:rPr>
          <w:rFonts w:cstheme="minorHAnsi"/>
        </w:rPr>
        <w:t xml:space="preserve"> </w:t>
      </w:r>
      <w:r w:rsidR="009B0F3B" w:rsidRPr="009B0F3B">
        <w:rPr>
          <w:rFonts w:cstheme="minorHAnsi"/>
        </w:rPr>
        <w:t>21</w:t>
      </w:r>
      <w:r w:rsidR="009B0F3B" w:rsidRPr="009B0F3B">
        <w:rPr>
          <w:rFonts w:cstheme="minorHAnsi"/>
          <w:vertAlign w:val="superscript"/>
        </w:rPr>
        <w:t>st</w:t>
      </w:r>
      <w:r w:rsidR="009B0F3B" w:rsidRPr="009B0F3B">
        <w:rPr>
          <w:rFonts w:cstheme="minorHAnsi"/>
        </w:rPr>
        <w:t xml:space="preserve"> </w:t>
      </w:r>
      <w:proofErr w:type="gramStart"/>
      <w:r w:rsidR="009B0F3B" w:rsidRPr="009B0F3B">
        <w:rPr>
          <w:rFonts w:cstheme="minorHAnsi"/>
        </w:rPr>
        <w:t>December</w:t>
      </w:r>
      <w:r w:rsidR="005560CF" w:rsidRPr="009B0F3B">
        <w:rPr>
          <w:rFonts w:cstheme="minorHAnsi"/>
        </w:rPr>
        <w:t>,</w:t>
      </w:r>
      <w:proofErr w:type="gramEnd"/>
      <w:r w:rsidR="0018662B" w:rsidRPr="009B0F3B">
        <w:rPr>
          <w:rFonts w:cstheme="minorHAnsi"/>
        </w:rPr>
        <w:t xml:space="preserve"> 2018</w:t>
      </w:r>
      <w:r w:rsidR="004D7FC9" w:rsidRPr="009B0F3B">
        <w:rPr>
          <w:rFonts w:cstheme="minorHAnsi"/>
        </w:rPr>
        <w:t>.</w:t>
      </w:r>
      <w:r w:rsidR="004D7FC9" w:rsidRPr="005625E1">
        <w:rPr>
          <w:rFonts w:cstheme="minorHAnsi"/>
        </w:rPr>
        <w:t xml:space="preserve"> </w:t>
      </w:r>
      <w:r w:rsidRPr="005625E1">
        <w:rPr>
          <w:rFonts w:cstheme="minorHAnsi"/>
        </w:rPr>
        <w:t xml:space="preserve"> </w:t>
      </w:r>
      <w:r w:rsidR="004D7FC9" w:rsidRPr="005625E1">
        <w:rPr>
          <w:rFonts w:cstheme="minorHAnsi"/>
        </w:rPr>
        <w:t xml:space="preserve">Our </w:t>
      </w:r>
      <w:r w:rsidR="00803CB3" w:rsidRPr="005625E1">
        <w:rPr>
          <w:rFonts w:eastAsia="Times New Roman" w:cstheme="minorHAnsi"/>
          <w:bCs/>
          <w:lang w:eastAsia="fr-FR"/>
        </w:rPr>
        <w:t xml:space="preserve">Validation Team </w:t>
      </w:r>
      <w:r w:rsidR="004D7FC9" w:rsidRPr="005625E1">
        <w:rPr>
          <w:rFonts w:eastAsia="Times New Roman" w:cstheme="minorHAnsi"/>
          <w:bCs/>
          <w:lang w:eastAsia="fr-FR"/>
        </w:rPr>
        <w:t xml:space="preserve">undertook this phase of the Validation process </w:t>
      </w:r>
      <w:r w:rsidR="00803CB3" w:rsidRPr="005625E1">
        <w:rPr>
          <w:rFonts w:eastAsia="Times New Roman" w:cstheme="minorHAnsi"/>
          <w:bCs/>
          <w:lang w:eastAsia="fr-FR"/>
        </w:rPr>
        <w:t xml:space="preserve">through: (1) In-depth review and marking up of the EITI Assessment by </w:t>
      </w:r>
      <w:r w:rsidR="00AB786F" w:rsidRPr="005625E1">
        <w:rPr>
          <w:rFonts w:eastAsia="Times New Roman" w:cstheme="minorHAnsi"/>
          <w:bCs/>
          <w:lang w:eastAsia="fr-FR"/>
        </w:rPr>
        <w:t xml:space="preserve">each </w:t>
      </w:r>
      <w:r w:rsidR="00803CB3" w:rsidRPr="005625E1">
        <w:rPr>
          <w:rFonts w:eastAsia="Times New Roman" w:cstheme="minorHAnsi"/>
          <w:bCs/>
          <w:lang w:eastAsia="fr-FR"/>
        </w:rPr>
        <w:t>team</w:t>
      </w:r>
      <w:r w:rsidR="00AB786F" w:rsidRPr="005625E1">
        <w:rPr>
          <w:rFonts w:eastAsia="Times New Roman" w:cstheme="minorHAnsi"/>
          <w:bCs/>
          <w:lang w:eastAsia="fr-FR"/>
        </w:rPr>
        <w:t xml:space="preserve"> member</w:t>
      </w:r>
      <w:r w:rsidR="00803CB3" w:rsidRPr="005625E1">
        <w:rPr>
          <w:rFonts w:eastAsia="Times New Roman" w:cstheme="minorHAnsi"/>
          <w:bCs/>
          <w:lang w:eastAsia="fr-FR"/>
        </w:rPr>
        <w:t>; (</w:t>
      </w:r>
      <w:r w:rsidR="004A0786" w:rsidRPr="005625E1">
        <w:rPr>
          <w:rFonts w:eastAsia="Times New Roman" w:cstheme="minorHAnsi"/>
          <w:bCs/>
          <w:lang w:eastAsia="fr-FR"/>
        </w:rPr>
        <w:t>2</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Multi-Stakeholder Specialist of Requireme</w:t>
      </w:r>
      <w:r w:rsidR="00954096">
        <w:rPr>
          <w:rFonts w:eastAsia="Times New Roman" w:cstheme="minorHAnsi"/>
          <w:bCs/>
          <w:lang w:eastAsia="fr-FR"/>
        </w:rPr>
        <w:t>nts 1 and the Civil Society Protocol</w:t>
      </w:r>
      <w:r w:rsidR="00803CB3" w:rsidRPr="005625E1">
        <w:rPr>
          <w:rFonts w:eastAsia="Times New Roman" w:cstheme="minorHAnsi"/>
          <w:bCs/>
          <w:lang w:eastAsia="fr-FR"/>
        </w:rPr>
        <w:t>; (</w:t>
      </w:r>
      <w:r w:rsidR="004A0786" w:rsidRPr="005625E1">
        <w:rPr>
          <w:rFonts w:eastAsia="Times New Roman" w:cstheme="minorHAnsi"/>
          <w:bCs/>
          <w:lang w:eastAsia="fr-FR"/>
        </w:rPr>
        <w:t>3</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Financ</w:t>
      </w:r>
      <w:r w:rsidR="00954096">
        <w:rPr>
          <w:rFonts w:eastAsia="Times New Roman" w:cstheme="minorHAnsi"/>
          <w:bCs/>
          <w:lang w:eastAsia="fr-FR"/>
        </w:rPr>
        <w:t xml:space="preserve">ial Specialist of Requirements 4, 5 and </w:t>
      </w:r>
      <w:r w:rsidR="00803CB3" w:rsidRPr="005625E1">
        <w:rPr>
          <w:rFonts w:eastAsia="Times New Roman" w:cstheme="minorHAnsi"/>
          <w:bCs/>
          <w:lang w:eastAsia="fr-FR"/>
        </w:rPr>
        <w:t>6; (</w:t>
      </w:r>
      <w:r w:rsidR="00FC4788">
        <w:rPr>
          <w:rFonts w:eastAsia="Times New Roman" w:cstheme="minorHAnsi"/>
          <w:bCs/>
          <w:lang w:eastAsia="fr-FR"/>
        </w:rPr>
        <w:t xml:space="preserve">4) </w:t>
      </w:r>
      <w:r w:rsidR="00C71C1F">
        <w:rPr>
          <w:rFonts w:eastAsia="Times New Roman" w:cstheme="minorHAnsi"/>
          <w:bCs/>
          <w:lang w:eastAsia="fr-FR"/>
        </w:rPr>
        <w:t>C</w:t>
      </w:r>
      <w:r w:rsidR="001A386F" w:rsidRPr="005625E1">
        <w:rPr>
          <w:rFonts w:eastAsia="Times New Roman" w:cstheme="minorHAnsi"/>
          <w:bCs/>
          <w:lang w:eastAsia="fr-FR"/>
        </w:rPr>
        <w:t xml:space="preserve">onsolidation of reviews and </w:t>
      </w:r>
      <w:r w:rsidR="00D82592">
        <w:rPr>
          <w:rFonts w:eastAsia="Times New Roman" w:cstheme="minorHAnsi"/>
          <w:bCs/>
          <w:lang w:eastAsia="fr-FR"/>
        </w:rPr>
        <w:t>the production of this</w:t>
      </w:r>
      <w:r w:rsidR="00A57147">
        <w:rPr>
          <w:rFonts w:eastAsia="Times New Roman" w:cstheme="minorHAnsi"/>
          <w:bCs/>
          <w:lang w:eastAsia="fr-FR"/>
        </w:rPr>
        <w:t xml:space="preserve"> draft</w:t>
      </w:r>
      <w:r w:rsidR="001A386F" w:rsidRPr="005625E1">
        <w:rPr>
          <w:rFonts w:eastAsia="Times New Roman" w:cstheme="minorHAnsi"/>
          <w:bCs/>
          <w:lang w:eastAsia="fr-FR"/>
        </w:rPr>
        <w:t xml:space="preserve"> Validation Report</w:t>
      </w:r>
      <w:r w:rsidR="00325E55">
        <w:rPr>
          <w:rFonts w:eastAsia="Times New Roman" w:cstheme="minorHAnsi"/>
          <w:bCs/>
          <w:lang w:eastAsia="fr-FR"/>
        </w:rPr>
        <w:t>, sent</w:t>
      </w:r>
      <w:r w:rsidR="00AE5306">
        <w:rPr>
          <w:rFonts w:eastAsia="Times New Roman" w:cstheme="minorHAnsi"/>
          <w:bCs/>
          <w:lang w:eastAsia="fr-FR"/>
        </w:rPr>
        <w:t xml:space="preserve"> to the International Secretariat on the </w:t>
      </w:r>
      <w:r w:rsidR="002353C5">
        <w:rPr>
          <w:rFonts w:eastAsia="Times New Roman" w:cstheme="minorHAnsi"/>
          <w:bCs/>
          <w:lang w:eastAsia="fr-FR"/>
        </w:rPr>
        <w:t>15</w:t>
      </w:r>
      <w:r w:rsidR="002353C5" w:rsidRPr="002353C5">
        <w:rPr>
          <w:rFonts w:eastAsia="Times New Roman" w:cstheme="minorHAnsi"/>
          <w:bCs/>
          <w:vertAlign w:val="superscript"/>
          <w:lang w:eastAsia="fr-FR"/>
        </w:rPr>
        <w:t>th</w:t>
      </w:r>
      <w:r w:rsidR="002353C5">
        <w:rPr>
          <w:rFonts w:eastAsia="Times New Roman" w:cstheme="minorHAnsi"/>
          <w:bCs/>
          <w:lang w:eastAsia="fr-FR"/>
        </w:rPr>
        <w:t xml:space="preserve"> January, 2019</w:t>
      </w:r>
      <w:r w:rsidR="00AE5306">
        <w:rPr>
          <w:rFonts w:eastAsia="Times New Roman" w:cstheme="minorHAnsi"/>
          <w:bCs/>
          <w:lang w:eastAsia="fr-FR"/>
        </w:rPr>
        <w:t>.</w:t>
      </w:r>
    </w:p>
    <w:p w14:paraId="54B24071" w14:textId="77777777" w:rsidR="00C71C1F" w:rsidRPr="00F62BD3" w:rsidRDefault="00C71C1F" w:rsidP="00392B71">
      <w:pPr>
        <w:pStyle w:val="ListParagraph"/>
        <w:spacing w:after="0" w:line="240" w:lineRule="auto"/>
        <w:rPr>
          <w:rFonts w:cstheme="minorHAnsi"/>
          <w:b/>
        </w:rPr>
      </w:pPr>
    </w:p>
    <w:p w14:paraId="28360106" w14:textId="7A3F215D" w:rsidR="00572CE5" w:rsidRPr="005625E1" w:rsidRDefault="00572CE5" w:rsidP="00F12713">
      <w:pPr>
        <w:pStyle w:val="ListParagraph"/>
        <w:numPr>
          <w:ilvl w:val="0"/>
          <w:numId w:val="2"/>
        </w:numPr>
        <w:spacing w:after="0" w:line="240" w:lineRule="auto"/>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F12713">
      <w:pPr>
        <w:spacing w:after="0" w:line="240" w:lineRule="auto"/>
        <w:rPr>
          <w:rFonts w:cstheme="minorHAnsi"/>
        </w:rPr>
      </w:pPr>
    </w:p>
    <w:p w14:paraId="7B943A2D" w14:textId="4C841D42" w:rsidR="00573AAF" w:rsidRDefault="00865D33" w:rsidP="00880491">
      <w:pPr>
        <w:widowControl w:val="0"/>
        <w:suppressAutoHyphens/>
        <w:spacing w:after="0"/>
        <w:rPr>
          <w:rFonts w:eastAsia="Times New Roman" w:cstheme="minorHAnsi"/>
        </w:rPr>
      </w:pPr>
      <w:r>
        <w:rPr>
          <w:rFonts w:eastAsia="Times New Roman" w:cstheme="minorHAnsi"/>
        </w:rPr>
        <w:t>The Validator carefully reviewed the Secretariat’s Initial A</w:t>
      </w:r>
      <w:r w:rsidR="002353C5">
        <w:rPr>
          <w:rFonts w:eastAsia="Times New Roman" w:cstheme="minorHAnsi"/>
        </w:rPr>
        <w:t>ssessment and at this stage has no</w:t>
      </w:r>
      <w:r>
        <w:rPr>
          <w:rFonts w:eastAsia="Times New Roman" w:cstheme="minorHAnsi"/>
        </w:rPr>
        <w:t xml:space="preserve"> comments on the limitation of the validation process.</w:t>
      </w:r>
    </w:p>
    <w:p w14:paraId="1888077F" w14:textId="77777777" w:rsidR="00573AAF" w:rsidRDefault="00573AAF" w:rsidP="00F12713">
      <w:pPr>
        <w:widowControl w:val="0"/>
        <w:suppressAutoHyphens/>
        <w:spacing w:after="0" w:line="240" w:lineRule="auto"/>
        <w:rPr>
          <w:rFonts w:eastAsia="Times New Roman" w:cstheme="minorHAnsi"/>
        </w:rPr>
      </w:pPr>
    </w:p>
    <w:p w14:paraId="64D315E3" w14:textId="77777777" w:rsidR="00C71C1F" w:rsidRPr="005625E1" w:rsidRDefault="00C71C1F" w:rsidP="00F12713">
      <w:pPr>
        <w:pStyle w:val="ListParagraph"/>
        <w:spacing w:after="0" w:line="240" w:lineRule="auto"/>
        <w:rPr>
          <w:rFonts w:cstheme="minorHAnsi"/>
          <w:b/>
          <w:color w:val="365F91" w:themeColor="accent1" w:themeShade="BF"/>
        </w:rPr>
      </w:pPr>
    </w:p>
    <w:p w14:paraId="1096F300" w14:textId="3E4AD76F" w:rsidR="00803CB3" w:rsidRPr="005625E1" w:rsidRDefault="00803CB3"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F12713">
      <w:pPr>
        <w:spacing w:after="0" w:line="240" w:lineRule="auto"/>
        <w:rPr>
          <w:rFonts w:eastAsia="Times New Roman" w:cstheme="minorHAnsi"/>
        </w:rPr>
      </w:pPr>
    </w:p>
    <w:p w14:paraId="7E32F375" w14:textId="3CB9C9B4" w:rsidR="00E719C0" w:rsidRPr="00E719C0" w:rsidRDefault="00803CB3" w:rsidP="00880491">
      <w:pPr>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w:t>
      </w:r>
      <w:r w:rsidR="00D649C2">
        <w:rPr>
          <w:rFonts w:eastAsia="Times New Roman" w:cstheme="minorHAnsi"/>
        </w:rPr>
        <w:t xml:space="preserve">s three phases.  Firstly, </w:t>
      </w:r>
      <w:r w:rsidR="00E719C0">
        <w:rPr>
          <w:rFonts w:eastAsia="Times New Roman" w:cstheme="minorHAnsi"/>
        </w:rPr>
        <w:t xml:space="preserve">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C61A14">
      <w:pPr>
        <w:numPr>
          <w:ilvl w:val="0"/>
          <w:numId w:val="8"/>
        </w:numPr>
        <w:spacing w:after="0"/>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C61A14">
      <w:pPr>
        <w:numPr>
          <w:ilvl w:val="0"/>
          <w:numId w:val="8"/>
        </w:numPr>
        <w:spacing w:after="0"/>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076409D" w:rsidR="00E719C0" w:rsidRPr="00E719C0" w:rsidRDefault="00E719C0" w:rsidP="00C61A14">
      <w:pPr>
        <w:numPr>
          <w:ilvl w:val="0"/>
          <w:numId w:val="8"/>
        </w:numPr>
        <w:spacing w:after="0"/>
        <w:rPr>
          <w:rFonts w:eastAsia="Times New Roman" w:cstheme="minorHAnsi"/>
        </w:rPr>
      </w:pPr>
      <w:r w:rsidRPr="00E719C0">
        <w:rPr>
          <w:rFonts w:eastAsia="Times New Roman" w:cstheme="minorHAnsi"/>
        </w:rPr>
        <w:t>EITI Reports, and supplementary information such as summ</w:t>
      </w:r>
      <w:r w:rsidR="009B0F3B">
        <w:rPr>
          <w:rFonts w:eastAsia="Times New Roman" w:cstheme="minorHAnsi"/>
        </w:rPr>
        <w:t>ary reports and scoping studies</w:t>
      </w:r>
    </w:p>
    <w:p w14:paraId="505CF551" w14:textId="77777777" w:rsidR="00E719C0" w:rsidRPr="00E719C0" w:rsidRDefault="00E719C0" w:rsidP="00C61A14">
      <w:pPr>
        <w:numPr>
          <w:ilvl w:val="0"/>
          <w:numId w:val="8"/>
        </w:numPr>
        <w:spacing w:after="0"/>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C61A14">
      <w:pPr>
        <w:numPr>
          <w:ilvl w:val="0"/>
          <w:numId w:val="8"/>
        </w:numPr>
        <w:spacing w:after="0"/>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C61A14">
      <w:pPr>
        <w:numPr>
          <w:ilvl w:val="0"/>
          <w:numId w:val="8"/>
        </w:numPr>
        <w:spacing w:after="0"/>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C61A14">
      <w:pPr>
        <w:spacing w:after="0"/>
        <w:rPr>
          <w:rFonts w:eastAsia="Times New Roman" w:cstheme="minorHAnsi"/>
        </w:rPr>
      </w:pPr>
    </w:p>
    <w:p w14:paraId="3A202C2B" w14:textId="529C8005" w:rsidR="00E719C0" w:rsidRDefault="00E719C0" w:rsidP="00880491">
      <w:pPr>
        <w:rPr>
          <w:rFonts w:cstheme="minorHAnsi"/>
        </w:rPr>
      </w:pPr>
      <w:r>
        <w:rPr>
          <w:rFonts w:cstheme="minorHAnsi"/>
        </w:rPr>
        <w:lastRenderedPageBreak/>
        <w:t>Secondly, a country visit, which</w:t>
      </w:r>
      <w:r w:rsidRPr="00E719C0">
        <w:rPr>
          <w:rFonts w:cstheme="minorHAnsi"/>
        </w:rPr>
        <w:t xml:space="preserve"> took place on </w:t>
      </w:r>
      <w:r w:rsidR="009B0F3B" w:rsidRPr="00A33565">
        <w:rPr>
          <w:rFonts w:ascii="Calibri" w:hAnsi="Calibri"/>
          <w:bCs/>
        </w:rPr>
        <w:t>19-23 November 2018</w:t>
      </w:r>
      <w:r w:rsidRPr="00E719C0">
        <w:rPr>
          <w:rFonts w:cstheme="minorHAnsi"/>
        </w:rPr>
        <w:t xml:space="preserve">. All meetings took place in </w:t>
      </w:r>
      <w:r w:rsidR="009B0F3B">
        <w:rPr>
          <w:rFonts w:ascii="Calibri" w:hAnsi="Calibri"/>
          <w:bCs/>
        </w:rPr>
        <w:t>Berlin or as teleconferences</w:t>
      </w:r>
      <w:r w:rsidRPr="00E719C0">
        <w:rPr>
          <w:rFonts w:cstheme="minorHAnsi"/>
        </w:rPr>
        <w:t xml:space="preserve">. </w:t>
      </w:r>
      <w:r w:rsidR="009B0F3B" w:rsidRPr="000936A3">
        <w:rPr>
          <w:rFonts w:ascii="Calibri" w:hAnsi="Calibri"/>
        </w:rPr>
        <w:t>The secretariat met with the multi-stakeholder group and its members, the Independent Administrator and other key stakeholders, including stakeholder groups that are represented on, but not directly participating in, the multi-stakeholder group. In addition to meeting with the MSG as a group, the Secretariat met with its constituent parts (government, companies and civil society) either individually or in constituency groups, with appropriate protocols to ensure that stakeholders are able to freely express their views and that requests for confidentially are respected.</w:t>
      </w:r>
    </w:p>
    <w:p w14:paraId="4E7695CD" w14:textId="76E5E948" w:rsidR="00BE48E7" w:rsidRDefault="006B688F" w:rsidP="00880491">
      <w:pPr>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 xml:space="preserve">ment of compliance. </w:t>
      </w:r>
    </w:p>
    <w:p w14:paraId="14236177" w14:textId="3E334AE3" w:rsidR="007C0497" w:rsidRPr="005625E1" w:rsidRDefault="007C0497" w:rsidP="00F12713">
      <w:pPr>
        <w:spacing w:after="0" w:line="240" w:lineRule="auto"/>
        <w:rPr>
          <w:rFonts w:eastAsia="Calibri" w:cstheme="minorHAnsi"/>
          <w:color w:val="FF0000"/>
          <w:lang w:bidi="en-US"/>
        </w:rPr>
      </w:pPr>
    </w:p>
    <w:p w14:paraId="4ECD14A5" w14:textId="58E821AC" w:rsidR="007C0497" w:rsidRDefault="00803CB3" w:rsidP="00F12713">
      <w:pPr>
        <w:spacing w:after="0" w:line="240" w:lineRule="auto"/>
        <w:rPr>
          <w:rFonts w:cstheme="minorHAnsi"/>
          <w:b/>
          <w:color w:val="365F91" w:themeColor="accent1" w:themeShade="BF"/>
        </w:rPr>
      </w:pPr>
      <w:r w:rsidRPr="005625E1">
        <w:rPr>
          <w:rFonts w:cstheme="minorHAnsi"/>
          <w:b/>
          <w:color w:val="365F91" w:themeColor="accent1" w:themeShade="BF"/>
        </w:rPr>
        <w:t xml:space="preserve">2. </w:t>
      </w:r>
      <w:r w:rsidRPr="005625E1">
        <w:rPr>
          <w:rFonts w:cstheme="minorHAnsi"/>
          <w:b/>
          <w:color w:val="365F91" w:themeColor="accent1" w:themeShade="BF"/>
        </w:rPr>
        <w:tab/>
        <w:t>GENERAL COMMENTS</w:t>
      </w: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7D60F9DB" w14:textId="77777777" w:rsidR="007C0497" w:rsidRPr="005625E1" w:rsidRDefault="007C0497" w:rsidP="00F12713">
      <w:pPr>
        <w:spacing w:after="0" w:line="240" w:lineRule="auto"/>
        <w:rPr>
          <w:rFonts w:cstheme="minorHAnsi"/>
          <w:color w:val="FF0000"/>
        </w:rPr>
      </w:pPr>
    </w:p>
    <w:p w14:paraId="6968719F" w14:textId="77777777" w:rsidR="009B0F3B" w:rsidRPr="00163E57" w:rsidRDefault="009B0F3B" w:rsidP="009B0F3B">
      <w:pPr>
        <w:widowControl w:val="0"/>
        <w:suppressAutoHyphens/>
        <w:spacing w:after="360" w:line="264" w:lineRule="auto"/>
        <w:rPr>
          <w:rFonts w:ascii="Calibri" w:hAnsi="Calibri"/>
        </w:rPr>
      </w:pPr>
      <w:r w:rsidRPr="00163E57">
        <w:rPr>
          <w:rFonts w:ascii="Calibri" w:hAnsi="Calibri"/>
        </w:rPr>
        <w:t xml:space="preserve">There is limited domestic demand for EITI data, which is bound to lead to limited impact. </w:t>
      </w:r>
      <w:r>
        <w:rPr>
          <w:rFonts w:ascii="Calibri" w:hAnsi="Calibri"/>
        </w:rPr>
        <w:t xml:space="preserve">EITI has improved dialogue between stakeholders and collated in one place data that was previously scattered across different sources. </w:t>
      </w:r>
      <w:r w:rsidRPr="00163E57">
        <w:rPr>
          <w:rFonts w:ascii="Calibri" w:hAnsi="Calibri"/>
        </w:rPr>
        <w:t>There is potential for the EITI to contribute to ensuring that mandatory payment reports and beneficial ownership data are accessible and user-friendly.</w:t>
      </w:r>
      <w:r>
        <w:rPr>
          <w:rFonts w:ascii="Calibri" w:hAnsi="Calibri"/>
        </w:rPr>
        <w:t xml:space="preserve"> Stakeholders </w:t>
      </w:r>
      <w:r w:rsidRPr="00163E57">
        <w:rPr>
          <w:rFonts w:ascii="Calibri" w:hAnsi="Calibri"/>
        </w:rPr>
        <w:t>see value in using domestic implementation as a means to encourage other resource-rich countries to implement the EITI and high social and environmental standards. Whether domestic imp</w:t>
      </w:r>
      <w:r>
        <w:rPr>
          <w:rFonts w:ascii="Calibri" w:hAnsi="Calibri"/>
        </w:rPr>
        <w:t>lementation is the most effectiv</w:t>
      </w:r>
      <w:r w:rsidRPr="00163E57">
        <w:rPr>
          <w:rFonts w:ascii="Calibri" w:hAnsi="Calibri"/>
        </w:rPr>
        <w:t>e and cost-efficient way to promote this objective, is yet to be seen.</w:t>
      </w:r>
      <w:r>
        <w:rPr>
          <w:rFonts w:ascii="Calibri" w:hAnsi="Calibri"/>
        </w:rPr>
        <w:t xml:space="preserve"> </w:t>
      </w:r>
    </w:p>
    <w:p w14:paraId="23D51BBE" w14:textId="5C60A5DD" w:rsidR="00172322" w:rsidRPr="00C61A14" w:rsidRDefault="009B0F3B" w:rsidP="00C61A14">
      <w:pPr>
        <w:widowControl w:val="0"/>
        <w:suppressAutoHyphens/>
        <w:spacing w:after="360" w:line="264" w:lineRule="auto"/>
        <w:rPr>
          <w:rFonts w:ascii="Calibri" w:hAnsi="Calibri"/>
        </w:rPr>
      </w:pPr>
      <w:r>
        <w:rPr>
          <w:rFonts w:ascii="Calibri" w:hAnsi="Calibri"/>
        </w:rPr>
        <w:t>The key strength of D-EITI is a well-functioning MSG and the will to go beyond EITI Requirements to address issues relevant in the German context. The MSG is one of very few platforms where the three constituencies take decisions as equal partners. The MSG authored the non-financial sections of the 2016 EITI Report, which involved intensive debate about scope and wording. The inclusion of information about subsidies, environmental issues and renewable energy increases the relevance of the report.</w:t>
      </w: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F12713">
      <w:pPr>
        <w:spacing w:after="0" w:line="240" w:lineRule="auto"/>
        <w:rPr>
          <w:rFonts w:cstheme="minorHAnsi"/>
          <w:color w:val="FF0000"/>
        </w:rPr>
      </w:pPr>
    </w:p>
    <w:p w14:paraId="46785C5E" w14:textId="77777777" w:rsidR="009B0F3B" w:rsidRPr="000936A3" w:rsidRDefault="009B0F3B" w:rsidP="009B0F3B">
      <w:pPr>
        <w:widowControl w:val="0"/>
        <w:suppressAutoHyphens/>
        <w:spacing w:after="360" w:line="264" w:lineRule="auto"/>
        <w:rPr>
          <w:rFonts w:ascii="Calibri" w:hAnsi="Calibri"/>
        </w:rPr>
      </w:pPr>
      <w:r>
        <w:rPr>
          <w:rFonts w:ascii="Calibri" w:hAnsi="Calibri"/>
        </w:rPr>
        <w:t>The challenge is making EITI relevant in a resource-poor setting. While going beyond the Standard partly addresses this, the most pressing issue in German public debate, phasing out the use of lignite, is not within the scope of discussions or reporting. The federal structure and strong tax secrecy make reporting challenging. As core elements of the Standard, such as licensing and reconciliation, are of little interest to stakeholders, meeting requirements becomes a technical exercise with little meaning for domestic resource governance.</w:t>
      </w:r>
    </w:p>
    <w:p w14:paraId="628B380A" w14:textId="07F7BF73" w:rsidR="00DE717E" w:rsidRDefault="00DE717E" w:rsidP="00325E55">
      <w:pPr>
        <w:spacing w:after="0" w:line="240" w:lineRule="auto"/>
        <w:rPr>
          <w:rFonts w:cstheme="minorHAnsi"/>
        </w:rPr>
      </w:pPr>
    </w:p>
    <w:p w14:paraId="4B020169" w14:textId="77777777" w:rsidR="00DE717E" w:rsidRDefault="00DE717E" w:rsidP="00AA1BCE">
      <w:pPr>
        <w:spacing w:after="0" w:line="240" w:lineRule="auto"/>
        <w:rPr>
          <w:rFonts w:cstheme="minorHAnsi"/>
        </w:rPr>
      </w:pPr>
    </w:p>
    <w:p w14:paraId="5EEEA9ED" w14:textId="77777777" w:rsidR="00DE717E" w:rsidRDefault="00DE717E" w:rsidP="00AA1BCE">
      <w:pPr>
        <w:spacing w:after="0" w:line="240" w:lineRule="auto"/>
        <w:rPr>
          <w:rFonts w:cstheme="minorHAnsi"/>
        </w:rPr>
      </w:pPr>
    </w:p>
    <w:p w14:paraId="4730C240" w14:textId="0EA5B5D4" w:rsidR="00056339" w:rsidRDefault="00E46A1D" w:rsidP="000608BE">
      <w:pPr>
        <w:rPr>
          <w:rFonts w:cstheme="minorHAnsi"/>
          <w:b/>
          <w:color w:val="365F91" w:themeColor="accent1" w:themeShade="BF"/>
        </w:rPr>
      </w:pPr>
      <w:r w:rsidRPr="00E46A1D">
        <w:rPr>
          <w:rFonts w:cstheme="minorHAnsi"/>
        </w:rPr>
        <w:t>.</w:t>
      </w:r>
      <w:r w:rsidR="00C71C1F">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422879" w:rsidRPr="000936A3" w14:paraId="7D604974" w14:textId="77777777" w:rsidTr="005D11DF">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585CDCE2" w14:textId="77777777" w:rsidR="00422879" w:rsidRPr="000936A3" w:rsidRDefault="00422879" w:rsidP="005D11DF">
            <w:pPr>
              <w:spacing w:after="0" w:line="240" w:lineRule="auto"/>
              <w:rPr>
                <w:rFonts w:ascii="Calibri" w:hAnsi="Calibri" w:cs="Times New Roman"/>
                <w:b/>
                <w:bCs/>
                <w:color w:val="FFFFFF"/>
                <w:lang w:eastAsia="en-GB"/>
              </w:rPr>
            </w:pPr>
            <w:r w:rsidRPr="000936A3">
              <w:rPr>
                <w:rFonts w:ascii="Calibri" w:hAnsi="Calibri"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7D92A210" w14:textId="77777777" w:rsidR="00422879" w:rsidRPr="000936A3" w:rsidRDefault="00422879" w:rsidP="005D11DF">
            <w:pPr>
              <w:spacing w:after="0" w:line="240" w:lineRule="auto"/>
              <w:jc w:val="center"/>
              <w:rPr>
                <w:rFonts w:ascii="Calibri" w:hAnsi="Calibri" w:cs="Times New Roman"/>
                <w:b/>
                <w:bCs/>
                <w:color w:val="FFFFFF"/>
                <w:lang w:eastAsia="en-GB"/>
              </w:rPr>
            </w:pPr>
            <w:r w:rsidRPr="000936A3">
              <w:rPr>
                <w:rFonts w:ascii="Calibri" w:hAnsi="Calibri" w:cs="Times New Roman"/>
                <w:b/>
                <w:bCs/>
                <w:color w:val="FFFFFF"/>
                <w:lang w:eastAsia="en-GB"/>
              </w:rPr>
              <w:t>LEVEL OF PROGRESS</w:t>
            </w:r>
          </w:p>
        </w:tc>
      </w:tr>
      <w:tr w:rsidR="00422879" w:rsidRPr="000936A3" w14:paraId="1A4A8983" w14:textId="77777777" w:rsidTr="005D11DF">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71EEDAE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7350C22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7C365F0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4CE9C87F" w14:textId="77777777" w:rsidR="00422879" w:rsidRPr="000936A3" w:rsidRDefault="00422879" w:rsidP="005D11DF">
            <w:pPr>
              <w:spacing w:after="0" w:line="240" w:lineRule="auto"/>
              <w:rPr>
                <w:rFonts w:ascii="Calibri" w:hAnsi="Calibri" w:cs="Times New Roman"/>
                <w:b/>
                <w:bCs/>
                <w:color w:val="FFFFFF"/>
                <w:lang w:eastAsia="en-GB"/>
              </w:rPr>
            </w:pPr>
            <w:r w:rsidRPr="000936A3">
              <w:rPr>
                <w:rFonts w:ascii="Calibri" w:hAnsi="Calibri"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3FBD8854" w14:textId="77777777" w:rsidR="00422879" w:rsidRPr="000936A3" w:rsidRDefault="00422879" w:rsidP="005D11DF">
            <w:pPr>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No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6523D056" w14:textId="77777777" w:rsidR="00422879" w:rsidRPr="000936A3" w:rsidRDefault="00422879" w:rsidP="005D11DF">
            <w:pPr>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29FC5A92" w14:textId="77777777" w:rsidR="00422879" w:rsidRPr="000936A3" w:rsidRDefault="00422879" w:rsidP="005D11DF">
            <w:pPr>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512B5905" w14:textId="77777777" w:rsidR="00422879" w:rsidRPr="000936A3" w:rsidRDefault="00422879" w:rsidP="005D11DF">
            <w:pPr>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070307AF" w14:textId="77777777" w:rsidR="00422879" w:rsidRPr="000936A3" w:rsidRDefault="00422879" w:rsidP="005D11DF">
            <w:pPr>
              <w:spacing w:after="0" w:line="240" w:lineRule="auto"/>
              <w:rPr>
                <w:rFonts w:ascii="Calibri" w:hAnsi="Calibri" w:cs="Times New Roman"/>
                <w:bCs/>
                <w:color w:val="000000"/>
                <w:lang w:eastAsia="en-GB"/>
              </w:rPr>
            </w:pPr>
            <w:r w:rsidRPr="000936A3">
              <w:rPr>
                <w:rFonts w:ascii="Calibri" w:hAnsi="Calibri" w:cs="Times New Roman"/>
                <w:bCs/>
                <w:color w:val="000000"/>
                <w:lang w:eastAsia="en-GB"/>
              </w:rPr>
              <w:t xml:space="preserve">  Beyond</w:t>
            </w:r>
          </w:p>
        </w:tc>
      </w:tr>
      <w:tr w:rsidR="00422879" w:rsidRPr="000936A3" w14:paraId="483D6392" w14:textId="77777777" w:rsidTr="005D11DF">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388A1E43"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25B7C89B"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1697BB1A" w14:textId="77777777" w:rsidR="00422879" w:rsidRPr="000936A3" w:rsidRDefault="00422879" w:rsidP="005D11DF">
            <w:pPr>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55F19149" w14:textId="77777777" w:rsidR="00422879" w:rsidRPr="000936A3" w:rsidRDefault="00422879" w:rsidP="005D11DF">
            <w:pPr>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2"/>
            <w:vAlign w:val="bottom"/>
          </w:tcPr>
          <w:p w14:paraId="2F5F8A3E"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7F473580"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69DC6C8E"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color w:val="000000"/>
                <w:lang w:eastAsia="en-GB"/>
              </w:rPr>
              <w:t> </w:t>
            </w:r>
          </w:p>
        </w:tc>
      </w:tr>
      <w:tr w:rsidR="00422879" w:rsidRPr="000936A3" w14:paraId="67835C60" w14:textId="77777777" w:rsidTr="005D11DF">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7621A5A9"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03DD4B7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BA5E76E"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6AC4BD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AE5572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6B4C94C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3F3B56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FD56747" w14:textId="77777777" w:rsidTr="005D11DF">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57BC9FC"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69008CB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23C703"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896993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48034F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657B94E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10B76B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294C390A" w14:textId="77777777" w:rsidTr="005D11DF">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8E7D5BF"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7100011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83791C6"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6E0237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FBE1BA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0B36790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3CCF7D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510C705" w14:textId="77777777" w:rsidTr="005D11DF">
        <w:trPr>
          <w:trHeight w:val="32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6C34F0DF"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46099CB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CDDC23"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9832BB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831E9C5"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308B2F"/>
            <w:noWrap/>
            <w:vAlign w:val="bottom"/>
            <w:hideMark/>
          </w:tcPr>
          <w:p w14:paraId="5DE20AE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3C9F03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759E866" w14:textId="77777777" w:rsidTr="005D11DF">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5FAFD345"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7748F0B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Work 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44472625"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788F43E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2B2D461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4" w:space="0" w:color="auto"/>
              <w:right w:val="single" w:sz="2" w:space="0" w:color="A6A6A6" w:themeColor="background1" w:themeShade="A6"/>
            </w:tcBorders>
            <w:shd w:val="clear" w:color="auto" w:fill="auto"/>
            <w:noWrap/>
            <w:vAlign w:val="bottom"/>
            <w:hideMark/>
          </w:tcPr>
          <w:p w14:paraId="02E7CC2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0070C0"/>
            <w:noWrap/>
            <w:vAlign w:val="bottom"/>
            <w:hideMark/>
          </w:tcPr>
          <w:p w14:paraId="118F090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4CE9D44" w14:textId="77777777" w:rsidTr="005D11DF">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0F356AE6"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F52A4D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08B8BAC"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47A3A1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012B6A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4"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8F6170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3DD889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74902D18"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5741650"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188E86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License allocations (#2.2)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C47D209"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A51ACB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bottom"/>
            <w:hideMark/>
          </w:tcPr>
          <w:p w14:paraId="5A5AC64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774C88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63D311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156878E6"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A1EDC57"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CF7E1B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C9B7A87"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3B884D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bottom"/>
            <w:hideMark/>
          </w:tcPr>
          <w:p w14:paraId="08CD8A1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038828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2F468E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58F6F0AD"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3F2DE61"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74A0C5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EC9903F"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5AFA4E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E5691B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A217BE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19B96D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26CD2FFD"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147C01A1"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4573CB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51C19119"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09E84AB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2F87382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181282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02EF063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4D01D290" w14:textId="77777777" w:rsidTr="005D11DF">
        <w:trPr>
          <w:trHeight w:val="31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28B6BA81"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051DBD2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tcPr>
          <w:p w14:paraId="60EF7124"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5CD44D5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57A7E59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5F1F834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reverseDiagStripe" w:color="auto" w:fill="auto"/>
            <w:noWrap/>
            <w:vAlign w:val="bottom"/>
            <w:hideMark/>
          </w:tcPr>
          <w:p w14:paraId="56FD430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172E469D" w14:textId="77777777" w:rsidTr="005D11DF">
        <w:trPr>
          <w:trHeight w:val="33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59F7C8C9"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1DEA52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571C239"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834D96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E841B75"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6D1E1A5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6E5565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10E538D9" w14:textId="77777777" w:rsidTr="005D11DF">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557A3F0"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E39232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1065767"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B53C1C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73E452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AEF38F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66A239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2A1B0F8C" w14:textId="77777777" w:rsidTr="005D11DF">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44C28525"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757AABA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7E178C30"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86A16E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48FE8E4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68A580F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3050E2D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6A9BE80E" w14:textId="77777777" w:rsidTr="005D11DF">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6B304599"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5EAF35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1856AA2"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658742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bottom"/>
            <w:hideMark/>
          </w:tcPr>
          <w:p w14:paraId="4A6D224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7C918B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58C7232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6A2FA49E"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A2241F7"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F499B9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tcPr>
          <w:p w14:paraId="15E3ABAE"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5A3DFD4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172AD9E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61F51F9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reverseDiagStripe" w:color="auto" w:fill="auto"/>
            <w:noWrap/>
            <w:vAlign w:val="bottom"/>
            <w:hideMark/>
          </w:tcPr>
          <w:p w14:paraId="13CAE7E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2B9698BA" w14:textId="77777777" w:rsidTr="005D11DF">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0CB2C79"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D75E71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tcPr>
          <w:p w14:paraId="3F2F1B9F"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0D437A6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70BC955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reverseDiagStripe" w:color="auto" w:fill="auto"/>
            <w:noWrap/>
            <w:vAlign w:val="bottom"/>
            <w:hideMark/>
          </w:tcPr>
          <w:p w14:paraId="0DBB14F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reverseDiagStripe" w:color="auto" w:fill="auto"/>
            <w:noWrap/>
            <w:vAlign w:val="bottom"/>
            <w:hideMark/>
          </w:tcPr>
          <w:p w14:paraId="5D1FE4B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0C9D40D3"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B6DD34A"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F4F8EC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tcPr>
          <w:p w14:paraId="3A265545"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bottom"/>
            <w:hideMark/>
          </w:tcPr>
          <w:p w14:paraId="6BA2092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center"/>
            <w:hideMark/>
          </w:tcPr>
          <w:p w14:paraId="42457216" w14:textId="77777777" w:rsidR="00422879" w:rsidRPr="00751E41" w:rsidRDefault="00422879" w:rsidP="005D11DF">
            <w:pPr>
              <w:spacing w:after="0" w:line="240" w:lineRule="auto"/>
              <w:jc w:val="center"/>
              <w:rPr>
                <w:rFonts w:ascii="Calibri" w:hAnsi="Calibri" w:cs="Times New Roman"/>
                <w:color w:val="000000"/>
                <w:lang w:eastAsia="en-GB"/>
              </w:rPr>
            </w:pPr>
            <w:r w:rsidRPr="00751E41">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reverseDiagStripe" w:color="auto" w:fill="auto"/>
            <w:noWrap/>
            <w:vAlign w:val="center"/>
            <w:hideMark/>
          </w:tcPr>
          <w:p w14:paraId="7D367EE5" w14:textId="77777777" w:rsidR="00422879" w:rsidRPr="00751E41" w:rsidRDefault="00422879" w:rsidP="005D11DF">
            <w:pPr>
              <w:spacing w:after="0" w:line="240" w:lineRule="auto"/>
              <w:rPr>
                <w:rFonts w:ascii="Calibri" w:hAnsi="Calibri" w:cs="Times New Roman"/>
                <w:color w:val="000000"/>
                <w:lang w:eastAsia="en-GB"/>
              </w:rPr>
            </w:pPr>
            <w:r w:rsidRPr="00751E41">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reverseDiagStripe" w:color="auto" w:fill="auto"/>
            <w:noWrap/>
            <w:vAlign w:val="center"/>
            <w:hideMark/>
          </w:tcPr>
          <w:p w14:paraId="2EAF0D48" w14:textId="77777777" w:rsidR="00422879" w:rsidRPr="00751E41" w:rsidRDefault="00422879" w:rsidP="005D11DF">
            <w:pPr>
              <w:spacing w:after="0" w:line="240" w:lineRule="auto"/>
              <w:jc w:val="center"/>
              <w:rPr>
                <w:rFonts w:ascii="Calibri" w:hAnsi="Calibri" w:cs="Times New Roman"/>
                <w:color w:val="000000"/>
                <w:lang w:eastAsia="en-GB"/>
              </w:rPr>
            </w:pPr>
            <w:r w:rsidRPr="00751E41">
              <w:rPr>
                <w:rFonts w:ascii="Calibri" w:hAnsi="Calibri" w:cs="Times New Roman"/>
                <w:color w:val="000000"/>
                <w:lang w:eastAsia="en-GB"/>
              </w:rPr>
              <w:t> </w:t>
            </w:r>
          </w:p>
        </w:tc>
      </w:tr>
      <w:tr w:rsidR="00422879" w:rsidRPr="000936A3" w14:paraId="10AEE4D1"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7CCA4F0"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0E04D3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SOE transactions (#4.5)</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7FE7857"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85B8125"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2"/>
            <w:noWrap/>
            <w:vAlign w:val="center"/>
            <w:hideMark/>
          </w:tcPr>
          <w:p w14:paraId="39760C42" w14:textId="77777777" w:rsidR="00422879" w:rsidRPr="000936A3" w:rsidRDefault="00422879" w:rsidP="005D11DF">
            <w:pPr>
              <w:spacing w:after="0" w:line="240" w:lineRule="auto"/>
              <w:jc w:val="center"/>
              <w:rPr>
                <w:rFonts w:ascii="Calibri" w:hAnsi="Calibri" w:cs="Times New Roman"/>
                <w:color w:val="00B050"/>
                <w:lang w:eastAsia="en-GB"/>
              </w:rPr>
            </w:pPr>
            <w:r w:rsidRPr="000936A3">
              <w:rPr>
                <w:rFonts w:ascii="Calibri" w:hAnsi="Calibri" w:cs="Times New Roman"/>
                <w:color w:val="00B05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0C1131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A05843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28F8BE05" w14:textId="77777777" w:rsidTr="005D11DF">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08CDDF0"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572AFE4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7695022"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E33E6D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82BB2A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F72784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57C348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9E55120" w14:textId="77777777" w:rsidTr="005D11DF">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99E9384"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38E16A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D07ED7D"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42ED90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448F53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DF48C6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29BC5A6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72DB2D64" w14:textId="77777777" w:rsidTr="005D11DF">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D661071"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F919465"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EF6BC42"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AA11A7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1808BE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7B8362B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7A6E41B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5CB4DB18" w14:textId="77777777" w:rsidTr="005D11DF">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5D694C8A"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2BAA23A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392759A6"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5A6F8D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61A436A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73D17E8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46EF12E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77DBAFF4" w14:textId="77777777" w:rsidTr="005D11DF">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214603E2"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160FB89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Distribution of revenues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42A2BC2"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DDB1A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3F631F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6E7645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6020DE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6D64D01E" w14:textId="77777777" w:rsidTr="005D11DF">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1FA1276"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31A3053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0C12B4"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83669A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4A809CA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4305F90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5730276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12261613" w14:textId="77777777" w:rsidTr="005D11DF">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4F90FB18"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07FDACA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29D5297C"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71A530F7"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69547966"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68C2400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7F20388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52777EFA" w14:textId="77777777" w:rsidTr="005D11DF">
        <w:trPr>
          <w:trHeight w:val="347"/>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5A2987D4"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064CC15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Mandatory social expenditures (#6.1.)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49A0BFC0"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6E9109A" w14:textId="77777777" w:rsidR="00422879" w:rsidRPr="000936A3" w:rsidRDefault="00422879" w:rsidP="005D11DF">
            <w:pPr>
              <w:spacing w:after="0"/>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62EB458" w14:textId="77777777" w:rsidR="00422879" w:rsidRPr="000936A3" w:rsidRDefault="00422879" w:rsidP="005D11DF">
            <w:pPr>
              <w:spacing w:after="0"/>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68C969FC" w14:textId="77777777" w:rsidR="00422879" w:rsidRPr="000936A3" w:rsidRDefault="00422879" w:rsidP="005D11DF">
            <w:pPr>
              <w:spacing w:after="0" w:line="240" w:lineRule="auto"/>
              <w:rPr>
                <w:rFonts w:ascii="Calibri" w:hAnsi="Calibri" w:cs="Times New Roman"/>
                <w:color w:val="000000"/>
                <w:lang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11F3D678" w14:textId="77777777" w:rsidR="00422879" w:rsidRPr="000936A3" w:rsidRDefault="00422879" w:rsidP="005D11DF">
            <w:pPr>
              <w:spacing w:after="0" w:line="240" w:lineRule="auto"/>
              <w:rPr>
                <w:rFonts w:ascii="Calibri" w:hAnsi="Calibri" w:cs="Times New Roman"/>
                <w:color w:val="000000"/>
                <w:lang w:eastAsia="en-GB"/>
              </w:rPr>
            </w:pPr>
          </w:p>
        </w:tc>
      </w:tr>
      <w:tr w:rsidR="00422879" w:rsidRPr="000936A3" w14:paraId="6DCAEDCB" w14:textId="77777777" w:rsidTr="005D11DF">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D4F1E4D"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6F4A55D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11CD4D6B"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0C1FA9A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35BC7D2E"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B1B1DD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7A536EB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661A94F2" w14:textId="77777777" w:rsidTr="005D11DF">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1D116F12"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40DED5C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3FBC6E77"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AE69B0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3BD6468B"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14:paraId="265D04A9"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598889C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74F5AD1B" w14:textId="77777777" w:rsidTr="005D11DF">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24D0F935" w14:textId="77777777" w:rsidR="00422879" w:rsidRPr="000936A3" w:rsidRDefault="00422879" w:rsidP="005D11DF">
            <w:pPr>
              <w:spacing w:after="0" w:line="240" w:lineRule="auto"/>
              <w:rPr>
                <w:rFonts w:ascii="Calibri" w:hAnsi="Calibri" w:cs="Times New Roman"/>
                <w:b/>
                <w:bCs/>
                <w:color w:val="000000"/>
                <w:lang w:eastAsia="en-GB"/>
              </w:rPr>
            </w:pPr>
            <w:r w:rsidRPr="000936A3">
              <w:rPr>
                <w:rFonts w:ascii="Calibri" w:hAnsi="Calibri"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FF5324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7C97C22F"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5017BF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4FE569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F8240"/>
            <w:noWrap/>
            <w:vAlign w:val="bottom"/>
            <w:hideMark/>
          </w:tcPr>
          <w:p w14:paraId="2C4C320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0228DEB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18EA93A" w14:textId="77777777" w:rsidTr="005D11DF">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FFEEAB6"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17F02F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40A07B38"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67A3D880"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13B59971"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8CC4FF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D9D9D9"/>
            <w:noWrap/>
            <w:vAlign w:val="bottom"/>
            <w:hideMark/>
          </w:tcPr>
          <w:p w14:paraId="11241D8F"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65A69C98" w14:textId="77777777" w:rsidTr="005D11DF">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8FEEB57"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697373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222DB47D"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E71D6C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049996A"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F8240"/>
            <w:noWrap/>
            <w:vAlign w:val="bottom"/>
            <w:hideMark/>
          </w:tcPr>
          <w:p w14:paraId="228F3A6C"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BC0FC94"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r w:rsidR="00422879" w:rsidRPr="000936A3" w14:paraId="3B7A7CCF" w14:textId="77777777" w:rsidTr="005D11DF">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43D26389" w14:textId="77777777" w:rsidR="00422879" w:rsidRPr="000936A3" w:rsidRDefault="00422879" w:rsidP="005D11DF">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79416352"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5C8C37D9" w14:textId="77777777" w:rsidR="00422879" w:rsidRPr="000936A3" w:rsidRDefault="00422879" w:rsidP="005D11DF">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0A4771CD"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71E5838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F8240"/>
            <w:noWrap/>
            <w:vAlign w:val="bottom"/>
            <w:hideMark/>
          </w:tcPr>
          <w:p w14:paraId="0CF321B8"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66613D53" w14:textId="77777777" w:rsidR="00422879" w:rsidRPr="000936A3" w:rsidRDefault="00422879" w:rsidP="005D11DF">
            <w:pPr>
              <w:spacing w:after="0" w:line="240" w:lineRule="auto"/>
              <w:rPr>
                <w:rFonts w:ascii="Calibri" w:hAnsi="Calibri" w:cs="Times New Roman"/>
                <w:color w:val="000000"/>
                <w:lang w:eastAsia="en-GB"/>
              </w:rPr>
            </w:pPr>
            <w:r w:rsidRPr="000936A3">
              <w:rPr>
                <w:rFonts w:ascii="Calibri" w:hAnsi="Calibri" w:cs="Times New Roman"/>
                <w:color w:val="000000"/>
                <w:lang w:eastAsia="en-GB"/>
              </w:rPr>
              <w:t> </w:t>
            </w:r>
          </w:p>
        </w:tc>
      </w:tr>
    </w:tbl>
    <w:p w14:paraId="6A711829" w14:textId="7E9CC165" w:rsidR="002D2440" w:rsidRPr="005625E1" w:rsidRDefault="002D2440" w:rsidP="00F12713">
      <w:pPr>
        <w:spacing w:after="0" w:line="240" w:lineRule="auto"/>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p w14:paraId="62D9987F" w14:textId="77777777" w:rsidR="007F1C2E" w:rsidRDefault="007F1C2E"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sidRPr="000F507E">
              <w:rPr>
                <w:rFonts w:cs="Times New Roman"/>
                <w:i/>
                <w:color w:val="000000"/>
              </w:rPr>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inadequate progress in meeting the requirement. Significant elements of the requirement are </w:t>
            </w:r>
            <w:proofErr w:type="gramStart"/>
            <w:r w:rsidRPr="000F507E">
              <w:rPr>
                <w:rFonts w:cs="Times New Roman"/>
                <w:color w:val="000000"/>
              </w:rPr>
              <w:t>outstanding</w:t>
            </w:r>
            <w:proofErr w:type="gramEnd"/>
            <w:r w:rsidRPr="000F507E">
              <w:rPr>
                <w:rFonts w:cs="Times New Roman"/>
                <w:color w:val="000000"/>
              </w:rPr>
              <w:t xml:space="preserve">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This requirement is only encouraged or recommended and should not be </w:t>
            </w:r>
            <w:proofErr w:type="gramStart"/>
            <w:r w:rsidRPr="000F507E">
              <w:rPr>
                <w:rFonts w:cs="Times New Roman"/>
                <w:color w:val="000000"/>
              </w:rPr>
              <w:t>taken into account</w:t>
            </w:r>
            <w:proofErr w:type="gramEnd"/>
            <w:r w:rsidRPr="000F507E">
              <w:rPr>
                <w:rFonts w:cs="Times New Roman"/>
                <w:color w:val="000000"/>
              </w:rPr>
              <w:t xml:space="preserve">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026FA95E" w:rsidR="00A67544" w:rsidRPr="005625E1" w:rsidRDefault="002D2440" w:rsidP="00F12713">
      <w:pPr>
        <w:spacing w:after="0" w:line="240" w:lineRule="auto"/>
        <w:rPr>
          <w:rFonts w:cstheme="minorHAnsi"/>
          <w:b/>
          <w:color w:val="365F91" w:themeColor="accent1" w:themeShade="BF"/>
        </w:rPr>
      </w:pPr>
      <w:r w:rsidRPr="005625E1">
        <w:rPr>
          <w:rFonts w:cstheme="minorHAnsi"/>
          <w:b/>
          <w:color w:val="365F91" w:themeColor="accent1" w:themeShade="BF"/>
        </w:rPr>
        <w:br w:type="page"/>
      </w:r>
      <w:r w:rsidR="00B06EE0" w:rsidRPr="005625E1">
        <w:rPr>
          <w:rFonts w:cstheme="minorHAnsi"/>
          <w:b/>
          <w:color w:val="365F91" w:themeColor="accent1" w:themeShade="BF"/>
        </w:rPr>
        <w:lastRenderedPageBreak/>
        <w:t>3</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F12713">
      <w:pPr>
        <w:spacing w:after="0" w:line="240" w:lineRule="auto"/>
        <w:rPr>
          <w:rFonts w:cstheme="minorHAnsi"/>
          <w:b/>
        </w:rPr>
      </w:pPr>
    </w:p>
    <w:p w14:paraId="6A19A75B" w14:textId="7824F1A0" w:rsidR="000F7F99" w:rsidRDefault="009B0F3B" w:rsidP="00F12713">
      <w:pPr>
        <w:spacing w:after="0" w:line="240" w:lineRule="auto"/>
        <w:rPr>
          <w:rFonts w:cstheme="minorHAnsi"/>
        </w:rPr>
      </w:pPr>
      <w:r>
        <w:rPr>
          <w:rFonts w:cstheme="minorHAnsi"/>
        </w:rPr>
        <w:t>T</w:t>
      </w:r>
      <w:r w:rsidR="000F7F99">
        <w:rPr>
          <w:rFonts w:cstheme="minorHAnsi"/>
        </w:rPr>
        <w:t>he Validator</w:t>
      </w:r>
      <w:r>
        <w:rPr>
          <w:rFonts w:cstheme="minorHAnsi"/>
        </w:rPr>
        <w:t xml:space="preserve"> does not disagree</w:t>
      </w:r>
      <w:r w:rsidR="000F7F99">
        <w:rPr>
          <w:rFonts w:cstheme="minorHAnsi"/>
        </w:rPr>
        <w:t xml:space="preserve"> with the</w:t>
      </w:r>
      <w:r w:rsidR="006F0D9A">
        <w:rPr>
          <w:rFonts w:cstheme="minorHAnsi"/>
        </w:rPr>
        <w:t xml:space="preserve"> findings of the</w:t>
      </w:r>
      <w:r w:rsidR="000F7F99">
        <w:rPr>
          <w:rFonts w:cstheme="minorHAnsi"/>
        </w:rPr>
        <w:t xml:space="preserve"> Initial Assessment.</w:t>
      </w: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344C38FF" w:rsidR="00766D41" w:rsidRPr="00C61A14" w:rsidRDefault="00766D41" w:rsidP="00D03129">
      <w:pPr>
        <w:spacing w:after="0" w:line="240" w:lineRule="auto"/>
        <w:ind w:left="720" w:hanging="720"/>
        <w:rPr>
          <w:rFonts w:cstheme="minorHAnsi"/>
          <w:b/>
          <w:color w:val="365F91" w:themeColor="accent1" w:themeShade="BF"/>
        </w:rPr>
      </w:pPr>
      <w:r w:rsidRPr="00C61A14">
        <w:rPr>
          <w:rFonts w:cstheme="minorHAnsi"/>
          <w:b/>
          <w:color w:val="365F91" w:themeColor="accent1" w:themeShade="BF"/>
        </w:rPr>
        <w:t>4</w:t>
      </w:r>
      <w:r w:rsidR="00310D77" w:rsidRPr="00C61A14">
        <w:rPr>
          <w:rFonts w:cstheme="minorHAnsi"/>
          <w:b/>
          <w:color w:val="365F91" w:themeColor="accent1" w:themeShade="BF"/>
        </w:rPr>
        <w:t>.</w:t>
      </w:r>
      <w:r w:rsidR="00310D77" w:rsidRPr="00C61A14">
        <w:rPr>
          <w:rFonts w:cstheme="minorHAnsi"/>
          <w:b/>
          <w:color w:val="365F91" w:themeColor="accent1" w:themeShade="BF"/>
        </w:rPr>
        <w:tab/>
      </w:r>
      <w:r w:rsidRPr="00C61A14">
        <w:rPr>
          <w:rFonts w:cstheme="minorHAnsi"/>
          <w:b/>
          <w:color w:val="365F91" w:themeColor="accent1" w:themeShade="BF"/>
        </w:rPr>
        <w:t>RECOMMENDATIONS</w:t>
      </w:r>
      <w:r w:rsidR="00310D77" w:rsidRPr="00C61A14">
        <w:rPr>
          <w:rFonts w:cstheme="minorHAnsi"/>
          <w:b/>
          <w:color w:val="365F91" w:themeColor="accent1" w:themeShade="BF"/>
        </w:rPr>
        <w:t xml:space="preserve"> </w:t>
      </w:r>
    </w:p>
    <w:p w14:paraId="0F7F6A38" w14:textId="77954A7A" w:rsidR="00823D46" w:rsidRDefault="00823D46" w:rsidP="00F12713">
      <w:pPr>
        <w:spacing w:after="0" w:line="240" w:lineRule="auto"/>
        <w:ind w:left="720" w:hanging="720"/>
        <w:rPr>
          <w:rFonts w:cstheme="minorHAnsi"/>
          <w:b/>
          <w:color w:val="FF0000"/>
        </w:rPr>
      </w:pPr>
    </w:p>
    <w:p w14:paraId="2D78B365" w14:textId="226C6055" w:rsidR="005D11DF" w:rsidRPr="00164BBB" w:rsidRDefault="005D11DF" w:rsidP="005D11DF">
      <w:pPr>
        <w:pStyle w:val="Heading3"/>
        <w:rPr>
          <w:rFonts w:asciiTheme="minorHAnsi" w:eastAsiaTheme="minorHAnsi" w:hAnsiTheme="minorHAnsi" w:cstheme="minorHAnsi"/>
          <w:bCs w:val="0"/>
          <w:color w:val="365F91" w:themeColor="accent1" w:themeShade="BF"/>
        </w:rPr>
      </w:pPr>
      <w:bookmarkStart w:id="0" w:name="_Toc532647706"/>
      <w:bookmarkStart w:id="1" w:name="_Toc532652158"/>
      <w:r w:rsidRPr="00164BBB">
        <w:rPr>
          <w:rFonts w:asciiTheme="minorHAnsi" w:eastAsiaTheme="minorHAnsi" w:hAnsiTheme="minorHAnsi" w:cstheme="minorHAnsi"/>
          <w:bCs w:val="0"/>
          <w:color w:val="365F91" w:themeColor="accent1" w:themeShade="BF"/>
        </w:rPr>
        <w:t>Corrective actions</w:t>
      </w:r>
      <w:bookmarkEnd w:id="0"/>
      <w:bookmarkEnd w:id="1"/>
    </w:p>
    <w:p w14:paraId="0A86EA95" w14:textId="77777777" w:rsidR="005D11DF" w:rsidRDefault="005D11DF" w:rsidP="00C61A14">
      <w:pPr>
        <w:pStyle w:val="ListParagraph"/>
        <w:widowControl w:val="0"/>
        <w:numPr>
          <w:ilvl w:val="0"/>
          <w:numId w:val="12"/>
        </w:numPr>
        <w:suppressAutoHyphens/>
        <w:spacing w:before="120" w:after="0" w:line="264" w:lineRule="auto"/>
        <w:contextualSpacing w:val="0"/>
      </w:pPr>
      <w:r>
        <w:t xml:space="preserve">In accordance with Requirement </w:t>
      </w:r>
      <w:r>
        <w:rPr>
          <w:b/>
        </w:rPr>
        <w:t>2.2:</w:t>
      </w:r>
    </w:p>
    <w:p w14:paraId="74E21524" w14:textId="77777777" w:rsidR="005D11DF" w:rsidRDefault="005D11DF" w:rsidP="00C61A14">
      <w:pPr>
        <w:pStyle w:val="ListParagraph"/>
        <w:spacing w:after="0"/>
        <w:ind w:left="1440"/>
      </w:pPr>
      <w:r>
        <w:t>(1) Germany is required to publish information about mining licenses awarded or transferred in the period covered by the EITI Report (Requirement 2.2.a.iii).</w:t>
      </w:r>
    </w:p>
    <w:p w14:paraId="2051FD11" w14:textId="77777777" w:rsidR="005D11DF" w:rsidRPr="006F61AD" w:rsidRDefault="005D11DF" w:rsidP="00C61A14">
      <w:pPr>
        <w:pStyle w:val="ListParagraph"/>
        <w:spacing w:after="0"/>
        <w:ind w:left="1440"/>
      </w:pPr>
      <w:r>
        <w:t>(2) I</w:t>
      </w:r>
      <w:r w:rsidRPr="006F61AD">
        <w:t>t is required that the MSG considers whether any non-trivial deviations from the legal framework took place in the award or transfer of licenses in the period covered by the EITI Report</w:t>
      </w:r>
      <w:r>
        <w:t xml:space="preserve"> (</w:t>
      </w:r>
      <w:r w:rsidRPr="006C64E5">
        <w:t>Requirement 2.2.a.iv</w:t>
      </w:r>
      <w:r>
        <w:t>)</w:t>
      </w:r>
      <w:r w:rsidRPr="006F61AD">
        <w:t>. The MSG may wish to assess possible deviations by providing an overview of license awards and transfers challenged in court and references to the rulings, where already available.</w:t>
      </w:r>
    </w:p>
    <w:p w14:paraId="046639BD" w14:textId="77777777" w:rsidR="005D11DF" w:rsidRDefault="005D11DF" w:rsidP="005D11DF">
      <w:pPr>
        <w:pStyle w:val="ListParagraph"/>
        <w:widowControl w:val="0"/>
        <w:numPr>
          <w:ilvl w:val="0"/>
          <w:numId w:val="12"/>
        </w:numPr>
        <w:suppressAutoHyphens/>
        <w:spacing w:before="120" w:after="240" w:line="264" w:lineRule="auto"/>
        <w:contextualSpacing w:val="0"/>
      </w:pPr>
      <w:r w:rsidRPr="00EA4FB5">
        <w:t xml:space="preserve">In </w:t>
      </w:r>
      <w:r>
        <w:t xml:space="preserve">accordance </w:t>
      </w:r>
      <w:r w:rsidRPr="00EA4FB5">
        <w:t xml:space="preserve">with Requirement </w:t>
      </w:r>
      <w:r w:rsidRPr="00D3317D">
        <w:rPr>
          <w:b/>
        </w:rPr>
        <w:t>2.3</w:t>
      </w:r>
      <w:r w:rsidRPr="00EA4FB5">
        <w:t xml:space="preserve">, Germany is required to ensure </w:t>
      </w:r>
      <w:r>
        <w:t>and demonstrate</w:t>
      </w:r>
      <w:r w:rsidRPr="00EA4FB5">
        <w:t xml:space="preserve"> that states maintain a publicly available register or cadastre system that includes at least licenses held by companies covered in the EITI Report. Alternatively, any outstanding information can be disclosed in the EITI Report or the D-EITI online portal. If practical barriers prevent comprehensive disclosure of information on licenses pertaining</w:t>
      </w:r>
      <w:r>
        <w:t xml:space="preserve"> to non-material companies, these</w:t>
      </w:r>
      <w:r w:rsidRPr="00EA4FB5">
        <w:t xml:space="preserve"> should be explained in the EITI Report.</w:t>
      </w:r>
    </w:p>
    <w:p w14:paraId="60C1C2DA" w14:textId="77777777" w:rsidR="005D11DF" w:rsidRDefault="005D11DF" w:rsidP="00C61A14">
      <w:pPr>
        <w:pStyle w:val="ListParagraph"/>
        <w:widowControl w:val="0"/>
        <w:numPr>
          <w:ilvl w:val="0"/>
          <w:numId w:val="12"/>
        </w:numPr>
        <w:suppressAutoHyphens/>
        <w:spacing w:before="120" w:after="0" w:line="264" w:lineRule="auto"/>
        <w:contextualSpacing w:val="0"/>
      </w:pPr>
      <w:r>
        <w:t xml:space="preserve">In order to comply with Requirement </w:t>
      </w:r>
      <w:r w:rsidRPr="00D3317D">
        <w:rPr>
          <w:b/>
        </w:rPr>
        <w:t>4.1</w:t>
      </w:r>
      <w:r>
        <w:t xml:space="preserve">: </w:t>
      </w:r>
    </w:p>
    <w:p w14:paraId="045D1212" w14:textId="77777777" w:rsidR="005D11DF" w:rsidRDefault="005D11DF" w:rsidP="00C61A14">
      <w:pPr>
        <w:pStyle w:val="ListParagraph"/>
        <w:spacing w:after="0"/>
        <w:ind w:left="1440"/>
      </w:pPr>
      <w:r>
        <w:t xml:space="preserve">(1) Germany is required to ensure that companies making material payments to the government participate in EITI reporting. It is recommended that D-EITI focuses on engaging companies that mandatory payment reports demonstrate made the largest payments. If companies refuse to participate despite efforts made by D-EITI and the company constituency, D-EITI should disclose material omissions in the EITI Report and refer to data published in mandatory payment reports. </w:t>
      </w:r>
    </w:p>
    <w:p w14:paraId="018AED19" w14:textId="77777777" w:rsidR="005D11DF" w:rsidRDefault="005D11DF" w:rsidP="00C61A14">
      <w:pPr>
        <w:pStyle w:val="ListParagraph"/>
        <w:spacing w:after="0"/>
        <w:ind w:left="1440"/>
      </w:pPr>
      <w:r>
        <w:t xml:space="preserve">(2) Germany is required to publish the names of material companies that declined to participate in EITI Reporting and assess the effect of their omissions on the comprehensiveness of the EITI Report. </w:t>
      </w:r>
    </w:p>
    <w:p w14:paraId="49B6802B" w14:textId="77777777" w:rsidR="005D11DF" w:rsidRPr="00D3317D" w:rsidRDefault="005D11DF" w:rsidP="005D11DF">
      <w:pPr>
        <w:pStyle w:val="ListParagraph"/>
        <w:widowControl w:val="0"/>
        <w:numPr>
          <w:ilvl w:val="0"/>
          <w:numId w:val="12"/>
        </w:numPr>
        <w:suppressAutoHyphens/>
        <w:spacing w:before="120" w:after="240" w:line="264" w:lineRule="auto"/>
        <w:contextualSpacing w:val="0"/>
      </w:pPr>
      <w:r w:rsidRPr="001E221F">
        <w:t xml:space="preserve">In </w:t>
      </w:r>
      <w:r>
        <w:t xml:space="preserve">accordance </w:t>
      </w:r>
      <w:r w:rsidRPr="001E221F">
        <w:t xml:space="preserve">with Requirement </w:t>
      </w:r>
      <w:r w:rsidRPr="00D3317D">
        <w:rPr>
          <w:b/>
        </w:rPr>
        <w:t>4.5</w:t>
      </w:r>
      <w:r w:rsidRPr="001E221F">
        <w:t xml:space="preserve">, Germany is required to ensure that </w:t>
      </w:r>
      <w:proofErr w:type="spellStart"/>
      <w:r w:rsidRPr="001E221F">
        <w:t>Südwestdeutsche</w:t>
      </w:r>
      <w:proofErr w:type="spellEnd"/>
      <w:r w:rsidRPr="001E221F">
        <w:t xml:space="preserve"> </w:t>
      </w:r>
      <w:proofErr w:type="spellStart"/>
      <w:r w:rsidRPr="001E221F">
        <w:t>Salzwerke</w:t>
      </w:r>
      <w:proofErr w:type="spellEnd"/>
      <w:r w:rsidRPr="001E221F">
        <w:t xml:space="preserve"> AG participates in future EITI Reports. Germany is encouraged to ensure that the company provides comprehensive disclosures through its mandatory payment reports.</w:t>
      </w:r>
    </w:p>
    <w:p w14:paraId="795FD247" w14:textId="67AF1F2A" w:rsidR="005D11DF" w:rsidRPr="00164BBB" w:rsidRDefault="005D11DF" w:rsidP="005D11DF">
      <w:pPr>
        <w:pStyle w:val="Heading3"/>
        <w:rPr>
          <w:rFonts w:asciiTheme="minorHAnsi" w:eastAsiaTheme="minorHAnsi" w:hAnsiTheme="minorHAnsi" w:cstheme="minorHAnsi"/>
          <w:bCs w:val="0"/>
          <w:color w:val="365F91" w:themeColor="accent1" w:themeShade="BF"/>
        </w:rPr>
      </w:pPr>
      <w:bookmarkStart w:id="2" w:name="_Toc532647707"/>
      <w:bookmarkStart w:id="3" w:name="_Toc532652159"/>
      <w:r w:rsidRPr="00164BBB">
        <w:rPr>
          <w:rFonts w:asciiTheme="minorHAnsi" w:eastAsiaTheme="minorHAnsi" w:hAnsiTheme="minorHAnsi" w:cstheme="minorHAnsi"/>
          <w:bCs w:val="0"/>
          <w:color w:val="365F91" w:themeColor="accent1" w:themeShade="BF"/>
        </w:rPr>
        <w:t>Strategic recommendations</w:t>
      </w:r>
      <w:bookmarkEnd w:id="2"/>
      <w:bookmarkEnd w:id="3"/>
    </w:p>
    <w:p w14:paraId="6C12DF3B" w14:textId="77777777" w:rsidR="005D11DF" w:rsidRPr="00DC58E0" w:rsidRDefault="005D11DF" w:rsidP="005D11DF">
      <w:pPr>
        <w:pStyle w:val="ListParagraph"/>
        <w:widowControl w:val="0"/>
        <w:numPr>
          <w:ilvl w:val="0"/>
          <w:numId w:val="12"/>
        </w:numPr>
        <w:suppressAutoHyphens/>
        <w:spacing w:before="120" w:after="240" w:line="264" w:lineRule="auto"/>
        <w:contextualSpacing w:val="0"/>
        <w:rPr>
          <w:lang w:val="en-US"/>
        </w:rPr>
      </w:pPr>
      <w:r w:rsidRPr="00DC58E0">
        <w:rPr>
          <w:lang w:val="en-US"/>
        </w:rPr>
        <w:t>To strengthen implementation, the International Secretariat recommends that the government consider</w:t>
      </w:r>
      <w:r>
        <w:rPr>
          <w:lang w:val="en-US"/>
        </w:rPr>
        <w:t xml:space="preserve">s increasing </w:t>
      </w:r>
      <w:r w:rsidRPr="00DC58E0">
        <w:rPr>
          <w:lang w:val="en-US"/>
        </w:rPr>
        <w:t xml:space="preserve">personnel resources on the EITI at the lead agency, </w:t>
      </w:r>
      <w:r>
        <w:rPr>
          <w:lang w:val="en-US"/>
        </w:rPr>
        <w:t>the Federal Ministry for Economic Affairs and Energy (</w:t>
      </w:r>
      <w:proofErr w:type="spellStart"/>
      <w:r w:rsidRPr="00DC58E0">
        <w:rPr>
          <w:lang w:val="en-US"/>
        </w:rPr>
        <w:t>BMWi</w:t>
      </w:r>
      <w:proofErr w:type="spellEnd"/>
      <w:r>
        <w:rPr>
          <w:lang w:val="en-US"/>
        </w:rPr>
        <w:t>) (R</w:t>
      </w:r>
      <w:r w:rsidRPr="00DC58E0">
        <w:rPr>
          <w:lang w:val="en-US"/>
        </w:rPr>
        <w:t xml:space="preserve">equirement </w:t>
      </w:r>
      <w:r w:rsidRPr="008A48AB">
        <w:rPr>
          <w:b/>
          <w:lang w:val="en-US"/>
        </w:rPr>
        <w:t>1.1</w:t>
      </w:r>
      <w:r w:rsidRPr="00DC58E0">
        <w:rPr>
          <w:lang w:val="en-US"/>
        </w:rPr>
        <w:t xml:space="preserve">). </w:t>
      </w:r>
    </w:p>
    <w:p w14:paraId="2B0ADAF0" w14:textId="77777777" w:rsidR="005D11DF" w:rsidRPr="00DC58E0" w:rsidRDefault="005D11DF" w:rsidP="005D11DF">
      <w:pPr>
        <w:pStyle w:val="ListParagraph"/>
        <w:widowControl w:val="0"/>
        <w:numPr>
          <w:ilvl w:val="0"/>
          <w:numId w:val="12"/>
        </w:numPr>
        <w:suppressAutoHyphens/>
        <w:spacing w:before="120" w:after="240" w:line="264" w:lineRule="auto"/>
        <w:contextualSpacing w:val="0"/>
        <w:rPr>
          <w:lang w:val="en-US"/>
        </w:rPr>
      </w:pPr>
      <w:r w:rsidRPr="00DC58E0">
        <w:rPr>
          <w:lang w:val="en-US"/>
        </w:rPr>
        <w:lastRenderedPageBreak/>
        <w:t>To strengthen implementation, the International Secretariat recommends that company representatives support the national secretariat in the outreach efforts to include more material compan</w:t>
      </w:r>
      <w:r>
        <w:rPr>
          <w:lang w:val="en-US"/>
        </w:rPr>
        <w:t>ies in the reporting process (Re</w:t>
      </w:r>
      <w:r w:rsidRPr="00DC58E0">
        <w:rPr>
          <w:lang w:val="en-US"/>
        </w:rPr>
        <w:t xml:space="preserve">quirement </w:t>
      </w:r>
      <w:r w:rsidRPr="008A48AB">
        <w:rPr>
          <w:b/>
          <w:lang w:val="en-US"/>
        </w:rPr>
        <w:t>1.2</w:t>
      </w:r>
      <w:r w:rsidRPr="00DC58E0">
        <w:rPr>
          <w:lang w:val="en-US"/>
        </w:rPr>
        <w:t>).</w:t>
      </w:r>
    </w:p>
    <w:p w14:paraId="5A7DF071" w14:textId="77777777" w:rsidR="005D11DF" w:rsidRPr="00DC58E0" w:rsidRDefault="005D11DF" w:rsidP="005D11DF">
      <w:pPr>
        <w:pStyle w:val="ListParagraph"/>
        <w:widowControl w:val="0"/>
        <w:numPr>
          <w:ilvl w:val="0"/>
          <w:numId w:val="12"/>
        </w:numPr>
        <w:suppressAutoHyphens/>
        <w:spacing w:before="120" w:after="240" w:line="264" w:lineRule="auto"/>
        <w:contextualSpacing w:val="0"/>
        <w:rPr>
          <w:lang w:val="en-US"/>
        </w:rPr>
      </w:pPr>
      <w:r w:rsidRPr="00DC58E0">
        <w:rPr>
          <w:lang w:val="en-US"/>
        </w:rPr>
        <w:t xml:space="preserve">To ensure continued participation of civil society, the government is encouraged to continue its </w:t>
      </w:r>
      <w:r>
        <w:rPr>
          <w:lang w:val="en-US"/>
        </w:rPr>
        <w:t xml:space="preserve">financial </w:t>
      </w:r>
      <w:r w:rsidRPr="00DC58E0">
        <w:rPr>
          <w:lang w:val="en-US"/>
        </w:rPr>
        <w:t xml:space="preserve">support to civil society </w:t>
      </w:r>
      <w:proofErr w:type="spellStart"/>
      <w:r w:rsidRPr="00DC58E0">
        <w:rPr>
          <w:lang w:val="en-US"/>
        </w:rPr>
        <w:t>organisations</w:t>
      </w:r>
      <w:proofErr w:type="spellEnd"/>
      <w:r w:rsidRPr="00DC58E0">
        <w:rPr>
          <w:lang w:val="en-US"/>
        </w:rPr>
        <w:t xml:space="preserve"> </w:t>
      </w:r>
      <w:r>
        <w:rPr>
          <w:lang w:val="en-US"/>
        </w:rPr>
        <w:t>(R</w:t>
      </w:r>
      <w:r w:rsidRPr="00DC58E0">
        <w:rPr>
          <w:lang w:val="en-US"/>
        </w:rPr>
        <w:t xml:space="preserve">equirement </w:t>
      </w:r>
      <w:r w:rsidRPr="008A48AB">
        <w:rPr>
          <w:b/>
          <w:lang w:val="en-US"/>
        </w:rPr>
        <w:t>1.3</w:t>
      </w:r>
      <w:r w:rsidRPr="00DC58E0">
        <w:rPr>
          <w:lang w:val="en-US"/>
        </w:rPr>
        <w:t xml:space="preserve">). </w:t>
      </w:r>
    </w:p>
    <w:p w14:paraId="2C7E154A" w14:textId="77777777" w:rsidR="005D11DF" w:rsidRDefault="005D11DF" w:rsidP="005D11DF">
      <w:pPr>
        <w:pStyle w:val="ListParagraph"/>
        <w:widowControl w:val="0"/>
        <w:numPr>
          <w:ilvl w:val="0"/>
          <w:numId w:val="12"/>
        </w:numPr>
        <w:suppressAutoHyphens/>
        <w:spacing w:before="120" w:after="240" w:line="264" w:lineRule="auto"/>
        <w:contextualSpacing w:val="0"/>
        <w:rPr>
          <w:lang w:val="en-US"/>
        </w:rPr>
      </w:pPr>
      <w:r w:rsidRPr="00DC58E0">
        <w:rPr>
          <w:lang w:val="en-US"/>
        </w:rPr>
        <w:t xml:space="preserve">To ensure the relevance of EITI implementation, the MSG is encouraged to continue to address topics beyond the EITI Standard </w:t>
      </w:r>
      <w:r>
        <w:rPr>
          <w:lang w:val="en-US"/>
        </w:rPr>
        <w:t>that are of national interest (R</w:t>
      </w:r>
      <w:r w:rsidRPr="00DC58E0">
        <w:rPr>
          <w:lang w:val="en-US"/>
        </w:rPr>
        <w:t xml:space="preserve">equirement </w:t>
      </w:r>
      <w:r w:rsidRPr="008A48AB">
        <w:rPr>
          <w:b/>
          <w:lang w:val="en-US"/>
        </w:rPr>
        <w:t>1.4</w:t>
      </w:r>
      <w:r w:rsidRPr="00DC58E0">
        <w:rPr>
          <w:lang w:val="en-US"/>
        </w:rPr>
        <w:t>).</w:t>
      </w:r>
    </w:p>
    <w:p w14:paraId="7C03837B" w14:textId="77777777" w:rsidR="005D11DF" w:rsidRDefault="005D11DF" w:rsidP="005D11DF">
      <w:pPr>
        <w:pStyle w:val="ListParagraph"/>
        <w:widowControl w:val="0"/>
        <w:numPr>
          <w:ilvl w:val="0"/>
          <w:numId w:val="12"/>
        </w:numPr>
        <w:suppressAutoHyphens/>
        <w:spacing w:before="120" w:after="240" w:line="264" w:lineRule="auto"/>
        <w:contextualSpacing w:val="0"/>
      </w:pPr>
      <w:r w:rsidRPr="00DC58E0">
        <w:rPr>
          <w:lang w:val="en-US"/>
        </w:rPr>
        <w:t>To further strengthen the transparency of the EITI process in Germany, the MSG is encouraged to fully cost all activities in the work plan that</w:t>
      </w:r>
      <w:r>
        <w:rPr>
          <w:lang w:val="en-US"/>
        </w:rPr>
        <w:t xml:space="preserve"> have a financial implication (R</w:t>
      </w:r>
      <w:r w:rsidRPr="00DC58E0">
        <w:rPr>
          <w:lang w:val="en-US"/>
        </w:rPr>
        <w:t xml:space="preserve">equirement </w:t>
      </w:r>
      <w:r w:rsidRPr="008A48AB">
        <w:rPr>
          <w:b/>
          <w:lang w:val="en-US"/>
        </w:rPr>
        <w:t>1.5</w:t>
      </w:r>
      <w:r w:rsidRPr="00DC58E0">
        <w:rPr>
          <w:lang w:val="en-US"/>
        </w:rPr>
        <w:t>).</w:t>
      </w:r>
    </w:p>
    <w:p w14:paraId="2DD81074" w14:textId="77777777" w:rsidR="005D11DF" w:rsidRDefault="005D11DF" w:rsidP="005D11DF">
      <w:pPr>
        <w:pStyle w:val="ListParagraph"/>
        <w:widowControl w:val="0"/>
        <w:numPr>
          <w:ilvl w:val="0"/>
          <w:numId w:val="12"/>
        </w:numPr>
        <w:suppressAutoHyphens/>
        <w:spacing w:before="120" w:after="240" w:line="264" w:lineRule="auto"/>
        <w:contextualSpacing w:val="0"/>
      </w:pPr>
      <w:r>
        <w:t xml:space="preserve">To further improve the accessibility of information on the legal framework and fiscal regime (Requirement </w:t>
      </w:r>
      <w:r w:rsidRPr="00CC5A33">
        <w:rPr>
          <w:b/>
        </w:rPr>
        <w:t>2.1</w:t>
      </w:r>
      <w:r>
        <w:t>), D-EITI may wish to add links to relevant federal and state-level legislation on the online portal.</w:t>
      </w:r>
    </w:p>
    <w:p w14:paraId="54FBF4E7" w14:textId="77777777" w:rsidR="005D11DF" w:rsidRPr="006F61AD" w:rsidRDefault="005D11DF" w:rsidP="005D11DF">
      <w:pPr>
        <w:pStyle w:val="ListParagraph"/>
        <w:widowControl w:val="0"/>
        <w:numPr>
          <w:ilvl w:val="0"/>
          <w:numId w:val="12"/>
        </w:numPr>
        <w:suppressAutoHyphens/>
        <w:spacing w:before="120" w:after="240" w:line="264" w:lineRule="auto"/>
        <w:contextualSpacing w:val="0"/>
      </w:pPr>
      <w:r w:rsidRPr="006F61AD">
        <w:t>D-EITI is encouraged to add a link to the report containing awards and transfers of oil and gas licenses in future EITI Reports</w:t>
      </w:r>
      <w:r>
        <w:t xml:space="preserve"> (Requirement </w:t>
      </w:r>
      <w:r w:rsidRPr="00CC5A33">
        <w:rPr>
          <w:b/>
        </w:rPr>
        <w:t>2.2</w:t>
      </w:r>
      <w:r>
        <w:t>)</w:t>
      </w:r>
      <w:r w:rsidRPr="006F61AD">
        <w:t>.</w:t>
      </w:r>
    </w:p>
    <w:p w14:paraId="60EF15B0" w14:textId="77777777" w:rsidR="005D11DF" w:rsidRPr="000936A3" w:rsidRDefault="005D11DF" w:rsidP="005D11DF">
      <w:pPr>
        <w:pStyle w:val="ListParagraph"/>
        <w:widowControl w:val="0"/>
        <w:numPr>
          <w:ilvl w:val="0"/>
          <w:numId w:val="12"/>
        </w:numPr>
        <w:suppressAutoHyphens/>
        <w:spacing w:before="120" w:after="240" w:line="264" w:lineRule="auto"/>
        <w:contextualSpacing w:val="0"/>
      </w:pPr>
      <w:r w:rsidRPr="00EA4FB5">
        <w:t xml:space="preserve">To strengthen implementation of Requirement </w:t>
      </w:r>
      <w:r w:rsidRPr="00CC5A33">
        <w:rPr>
          <w:b/>
        </w:rPr>
        <w:t>2.4</w:t>
      </w:r>
      <w:r w:rsidRPr="00EA4FB5">
        <w:t>, D-EITI is encouraged to review state practices on granting access to mining authorisation books.</w:t>
      </w:r>
    </w:p>
    <w:p w14:paraId="4F1FDDA0" w14:textId="77777777" w:rsidR="005D11DF" w:rsidRPr="00EA4FB5" w:rsidRDefault="005D11DF" w:rsidP="005D11DF">
      <w:pPr>
        <w:pStyle w:val="ListParagraph"/>
        <w:widowControl w:val="0"/>
        <w:numPr>
          <w:ilvl w:val="0"/>
          <w:numId w:val="12"/>
        </w:numPr>
        <w:suppressAutoHyphens/>
        <w:spacing w:before="120" w:after="240" w:line="264" w:lineRule="auto"/>
        <w:contextualSpacing w:val="0"/>
        <w:rPr>
          <w:rFonts w:eastAsia="Calibri"/>
        </w:rPr>
      </w:pPr>
      <w:r w:rsidRPr="00EA4FB5">
        <w:t xml:space="preserve">To strengthen implementation of requirement </w:t>
      </w:r>
      <w:r w:rsidRPr="00CC5A33">
        <w:rPr>
          <w:b/>
        </w:rPr>
        <w:t>2.5</w:t>
      </w:r>
      <w:r w:rsidRPr="00EA4FB5">
        <w:t>, Germany is encouraged to adopt a beneficial ownership data standard that improves the accessibility and usability of the Transparency Register. As the register already exists, it is recommended that it is made publicly available without legitimate interest without delays. Germany is also encouraged to make beneficial ownership information on all legal entities, including trusts, publicly available.</w:t>
      </w:r>
    </w:p>
    <w:p w14:paraId="1486110E" w14:textId="77777777" w:rsidR="005D11DF" w:rsidRPr="00D3317D" w:rsidRDefault="005D11DF" w:rsidP="005D11DF">
      <w:pPr>
        <w:pStyle w:val="ListParagraph"/>
        <w:widowControl w:val="0"/>
        <w:numPr>
          <w:ilvl w:val="0"/>
          <w:numId w:val="12"/>
        </w:numPr>
        <w:suppressAutoHyphens/>
        <w:spacing w:before="120" w:after="240" w:line="264" w:lineRule="auto"/>
        <w:contextualSpacing w:val="0"/>
        <w:rPr>
          <w:rFonts w:eastAsia="Calibri"/>
        </w:rPr>
      </w:pPr>
      <w:r w:rsidRPr="00EA4FB5">
        <w:t xml:space="preserve">The MSG is encouraged to revisit the issue of state participation regularly, </w:t>
      </w:r>
      <w:r>
        <w:t>to review the applicability of R</w:t>
      </w:r>
      <w:r w:rsidRPr="00EA4FB5">
        <w:t xml:space="preserve">equirements </w:t>
      </w:r>
      <w:r w:rsidRPr="00CC5A33">
        <w:rPr>
          <w:b/>
        </w:rPr>
        <w:t>2.6</w:t>
      </w:r>
      <w:r w:rsidRPr="00EA4FB5">
        <w:t xml:space="preserve"> and </w:t>
      </w:r>
      <w:r w:rsidRPr="00CC5A33">
        <w:rPr>
          <w:b/>
        </w:rPr>
        <w:t>6.2</w:t>
      </w:r>
      <w:r w:rsidRPr="00EA4FB5">
        <w:t>.</w:t>
      </w:r>
    </w:p>
    <w:p w14:paraId="7648F5F6" w14:textId="77777777" w:rsidR="005D11DF" w:rsidRDefault="005D11DF" w:rsidP="005D11DF">
      <w:pPr>
        <w:pStyle w:val="ListParagraph"/>
        <w:widowControl w:val="0"/>
        <w:numPr>
          <w:ilvl w:val="0"/>
          <w:numId w:val="12"/>
        </w:numPr>
        <w:suppressAutoHyphens/>
        <w:spacing w:before="120" w:after="240" w:line="264" w:lineRule="auto"/>
        <w:contextualSpacing w:val="0"/>
        <w:rPr>
          <w:rFonts w:eastAsia="Calibri"/>
        </w:rPr>
      </w:pPr>
      <w:r>
        <w:rPr>
          <w:rFonts w:eastAsia="Calibri"/>
        </w:rPr>
        <w:t xml:space="preserve">To strengthen implementation of Requirement </w:t>
      </w:r>
      <w:r w:rsidRPr="00CC5A33">
        <w:rPr>
          <w:rFonts w:eastAsia="Calibri"/>
          <w:b/>
        </w:rPr>
        <w:t>3.2</w:t>
      </w:r>
      <w:r>
        <w:rPr>
          <w:rFonts w:eastAsia="Calibri"/>
        </w:rPr>
        <w:t xml:space="preserve">, </w:t>
      </w:r>
      <w:r w:rsidRPr="003635B8">
        <w:rPr>
          <w:rFonts w:eastAsia="Calibri"/>
        </w:rPr>
        <w:t>D-EITI may wish to include production values in the online interactive map. As a result, production data could be excluded from the EITI Report.</w:t>
      </w:r>
    </w:p>
    <w:p w14:paraId="6810E131" w14:textId="77777777" w:rsidR="005D11DF" w:rsidRPr="001E221F" w:rsidRDefault="005D11DF" w:rsidP="005D11DF">
      <w:pPr>
        <w:pStyle w:val="ListParagraph"/>
        <w:widowControl w:val="0"/>
        <w:numPr>
          <w:ilvl w:val="0"/>
          <w:numId w:val="12"/>
        </w:numPr>
        <w:suppressAutoHyphens/>
        <w:spacing w:before="120" w:after="240" w:line="264" w:lineRule="auto"/>
        <w:contextualSpacing w:val="0"/>
        <w:rPr>
          <w:rFonts w:eastAsia="Calibri"/>
        </w:rPr>
      </w:pPr>
      <w:r>
        <w:t xml:space="preserve">To make implementation more cost-efficient, it is recommended that D-EITI undertakes, and publishes, an assessment of the mandatory disclosure reports in the view of moving towards mainstreaming EITI disclosures. The MSG may wish to provide recommendations on strengthening the accessibility of the mandatory payment reports or publish the data in open format in the D-EITI online portal. The MSG may also wish to consider asking companies to disclose data for the mandatory payment reports by revenue stream, in line with EITI Requirements (Requirement </w:t>
      </w:r>
      <w:r w:rsidRPr="00CC5A33">
        <w:rPr>
          <w:b/>
        </w:rPr>
        <w:t>4.1</w:t>
      </w:r>
      <w:r>
        <w:t xml:space="preserve">). </w:t>
      </w:r>
    </w:p>
    <w:p w14:paraId="6A9BF455" w14:textId="77777777" w:rsidR="005D11DF" w:rsidRPr="001E221F" w:rsidRDefault="005D11DF" w:rsidP="005D11DF">
      <w:pPr>
        <w:pStyle w:val="ListParagraph"/>
        <w:widowControl w:val="0"/>
        <w:numPr>
          <w:ilvl w:val="0"/>
          <w:numId w:val="12"/>
        </w:numPr>
        <w:suppressAutoHyphens/>
        <w:spacing w:before="120" w:after="240" w:line="264" w:lineRule="auto"/>
        <w:contextualSpacing w:val="0"/>
        <w:rPr>
          <w:rFonts w:eastAsia="Calibri"/>
        </w:rPr>
      </w:pPr>
      <w:r w:rsidRPr="001E221F">
        <w:t xml:space="preserve">To strengthen the implementation of Requirement </w:t>
      </w:r>
      <w:r w:rsidRPr="00CC5A33">
        <w:rPr>
          <w:b/>
        </w:rPr>
        <w:t>4.7</w:t>
      </w:r>
      <w:r w:rsidRPr="001E221F">
        <w:t xml:space="preserve">, the MSG is </w:t>
      </w:r>
      <w:r>
        <w:t>encouraged</w:t>
      </w:r>
      <w:r w:rsidRPr="001E221F">
        <w:t xml:space="preserve"> to </w:t>
      </w:r>
      <w:r>
        <w:t>note in the EITI Report</w:t>
      </w:r>
      <w:r w:rsidRPr="001E221F">
        <w:t xml:space="preserve"> that the revenue data is available in a more granular form on the D-EITI website.</w:t>
      </w:r>
    </w:p>
    <w:p w14:paraId="7BF9516B" w14:textId="77777777" w:rsidR="005D11DF" w:rsidRPr="001E221F" w:rsidRDefault="005D11DF" w:rsidP="005D11DF">
      <w:pPr>
        <w:pStyle w:val="ListParagraph"/>
        <w:widowControl w:val="0"/>
        <w:numPr>
          <w:ilvl w:val="0"/>
          <w:numId w:val="12"/>
        </w:numPr>
        <w:suppressAutoHyphens/>
        <w:spacing w:before="120" w:after="240" w:line="264" w:lineRule="auto"/>
        <w:contextualSpacing w:val="0"/>
        <w:rPr>
          <w:rFonts w:eastAsia="Calibri"/>
        </w:rPr>
      </w:pPr>
      <w:r w:rsidRPr="001E221F">
        <w:t>In order to improve the timeliness of disclosures</w:t>
      </w:r>
      <w:r>
        <w:t xml:space="preserve"> (Requirement </w:t>
      </w:r>
      <w:r w:rsidRPr="00CC5A33">
        <w:rPr>
          <w:b/>
        </w:rPr>
        <w:t>4.8</w:t>
      </w:r>
      <w:r>
        <w:t>)</w:t>
      </w:r>
      <w:r w:rsidRPr="001E221F">
        <w:t xml:space="preserve">, Germany is encouraged to </w:t>
      </w:r>
      <w:r w:rsidRPr="001E221F">
        <w:lastRenderedPageBreak/>
        <w:t xml:space="preserve">disclose non-financial data on government websites or the D-EITI portal as soon as it becomes available. </w:t>
      </w:r>
    </w:p>
    <w:p w14:paraId="26B56F55" w14:textId="77777777" w:rsidR="005D11DF" w:rsidRDefault="005D11DF" w:rsidP="005D11DF">
      <w:pPr>
        <w:pStyle w:val="ListParagraph"/>
        <w:widowControl w:val="0"/>
        <w:numPr>
          <w:ilvl w:val="0"/>
          <w:numId w:val="12"/>
        </w:numPr>
        <w:suppressAutoHyphens/>
        <w:spacing w:before="120" w:after="240" w:line="264" w:lineRule="auto"/>
        <w:contextualSpacing w:val="0"/>
      </w:pPr>
      <w:r>
        <w:t xml:space="preserve">Germany may wish to seek the EITI Board’s approval for an adapted implementation request to mainstream EITI disclosures in line with Requirement </w:t>
      </w:r>
      <w:r w:rsidRPr="00CC5A33">
        <w:rPr>
          <w:b/>
        </w:rPr>
        <w:t>4.9.c</w:t>
      </w:r>
      <w:r>
        <w:t>.</w:t>
      </w:r>
    </w:p>
    <w:p w14:paraId="197CD44B" w14:textId="77777777" w:rsidR="005D11DF" w:rsidRPr="000936A3" w:rsidRDefault="005D11DF" w:rsidP="005D11DF">
      <w:pPr>
        <w:pStyle w:val="ListParagraph"/>
        <w:widowControl w:val="0"/>
        <w:numPr>
          <w:ilvl w:val="0"/>
          <w:numId w:val="12"/>
        </w:numPr>
        <w:suppressAutoHyphens/>
        <w:spacing w:before="120" w:after="240" w:line="264" w:lineRule="auto"/>
        <w:contextualSpacing w:val="0"/>
      </w:pPr>
      <w:r>
        <w:t xml:space="preserve">To strengthen implementation of Requirement </w:t>
      </w:r>
      <w:r w:rsidRPr="00CC5A33">
        <w:rPr>
          <w:b/>
        </w:rPr>
        <w:t>5.1</w:t>
      </w:r>
      <w:r>
        <w:t>, all municipalities are encouraged to make budget information publicly available in open data format.</w:t>
      </w:r>
    </w:p>
    <w:p w14:paraId="64E8EE80" w14:textId="77777777" w:rsidR="005D11DF" w:rsidRPr="005D11DF" w:rsidRDefault="005D11DF" w:rsidP="005D11DF">
      <w:pPr>
        <w:pStyle w:val="ListParagraph"/>
        <w:widowControl w:val="0"/>
        <w:numPr>
          <w:ilvl w:val="0"/>
          <w:numId w:val="12"/>
        </w:numPr>
        <w:suppressAutoHyphens/>
        <w:spacing w:before="120" w:after="240" w:line="264" w:lineRule="auto"/>
        <w:contextualSpacing w:val="0"/>
        <w:rPr>
          <w:rFonts w:eastAsia="Calibri"/>
        </w:rPr>
      </w:pPr>
      <w:r w:rsidRPr="002B32A6">
        <w:t>To increase public understanding about subnational transfers</w:t>
      </w:r>
      <w:r>
        <w:t xml:space="preserve"> (Requirement </w:t>
      </w:r>
      <w:r w:rsidRPr="00CC5A33">
        <w:rPr>
          <w:b/>
        </w:rPr>
        <w:t>5.2</w:t>
      </w:r>
      <w:r>
        <w:t>)</w:t>
      </w:r>
      <w:r w:rsidRPr="002B32A6">
        <w:t>, the MSG is encouraged to include in the EITI Report or the D-EITI portal links to information about the financial equalisation mechanism and annual reallocation decisions.</w:t>
      </w:r>
    </w:p>
    <w:p w14:paraId="1A402066" w14:textId="1F186703" w:rsidR="005D11DF" w:rsidRPr="005D11DF" w:rsidRDefault="005D11DF" w:rsidP="005D11DF">
      <w:pPr>
        <w:pStyle w:val="ListParagraph"/>
        <w:widowControl w:val="0"/>
        <w:numPr>
          <w:ilvl w:val="0"/>
          <w:numId w:val="12"/>
        </w:numPr>
        <w:suppressAutoHyphens/>
        <w:spacing w:before="120" w:after="240" w:line="264" w:lineRule="auto"/>
        <w:contextualSpacing w:val="0"/>
      </w:pPr>
      <w:r w:rsidRPr="005D11DF">
        <w:t xml:space="preserve">A description of extractive revenues earmarked for specific </w:t>
      </w:r>
      <w:r w:rsidRPr="00F87891">
        <w:rPr>
          <w:rFonts w:cstheme="minorHAnsi"/>
        </w:rPr>
        <w:t>programmes or geographic</w:t>
      </w:r>
      <w:r w:rsidRPr="00F87891">
        <w:rPr>
          <w:rFonts w:cstheme="minorHAnsi"/>
          <w:lang w:val="en-CA"/>
        </w:rPr>
        <w:t xml:space="preserve"> regions</w:t>
      </w:r>
      <w:r w:rsidR="00BB1FF0" w:rsidRPr="00F87891">
        <w:rPr>
          <w:rFonts w:cstheme="minorHAnsi"/>
          <w:lang w:val="en-CA"/>
        </w:rPr>
        <w:t xml:space="preserve"> </w:t>
      </w:r>
      <w:r w:rsidR="00BB1FF0" w:rsidRPr="00F87891">
        <w:rPr>
          <w:rFonts w:cstheme="minorHAnsi"/>
        </w:rPr>
        <w:t xml:space="preserve">(Requirement </w:t>
      </w:r>
      <w:r w:rsidR="00BB1FF0" w:rsidRPr="00F87891">
        <w:rPr>
          <w:rFonts w:cstheme="minorHAnsi"/>
          <w:b/>
        </w:rPr>
        <w:t>5.3</w:t>
      </w:r>
      <w:r w:rsidR="00F87891" w:rsidRPr="00F87891">
        <w:rPr>
          <w:rFonts w:cstheme="minorHAnsi"/>
        </w:rPr>
        <w:t xml:space="preserve">), </w:t>
      </w:r>
      <w:r w:rsidR="00F87891" w:rsidRPr="00F87891">
        <w:rPr>
          <w:rFonts w:cstheme="minorHAnsi"/>
          <w:lang w:val="en-CA"/>
        </w:rPr>
        <w:t>should</w:t>
      </w:r>
      <w:r w:rsidRPr="00F87891">
        <w:rPr>
          <w:rFonts w:cstheme="minorHAnsi"/>
        </w:rPr>
        <w:t xml:space="preserve"> be provided and this should include a description of the methods for ensuring accountability and efficiency in their use as required under this provision</w:t>
      </w:r>
    </w:p>
    <w:p w14:paraId="5712999D" w14:textId="77777777" w:rsidR="005D11DF" w:rsidRPr="00FC3568" w:rsidRDefault="005D11DF" w:rsidP="005D11DF">
      <w:pPr>
        <w:pStyle w:val="ListParagraph"/>
        <w:widowControl w:val="0"/>
        <w:numPr>
          <w:ilvl w:val="0"/>
          <w:numId w:val="12"/>
        </w:numPr>
        <w:suppressAutoHyphens/>
        <w:spacing w:before="120" w:after="240" w:line="264" w:lineRule="auto"/>
        <w:contextualSpacing w:val="0"/>
        <w:rPr>
          <w:rFonts w:eastAsia="Calibri"/>
        </w:rPr>
      </w:pPr>
      <w:r w:rsidRPr="00FC3568">
        <w:t xml:space="preserve">To strengthen implementation of Requirement </w:t>
      </w:r>
      <w:r w:rsidRPr="00CC5A33">
        <w:rPr>
          <w:b/>
        </w:rPr>
        <w:t>6.1,</w:t>
      </w:r>
      <w:r w:rsidRPr="00FC3568">
        <w:t xml:space="preserve"> the MSG is encouraged to cover voluntary social expenditures in EITI reporting.</w:t>
      </w:r>
    </w:p>
    <w:p w14:paraId="7F9BF233" w14:textId="02355EAE" w:rsidR="005D11DF" w:rsidRPr="00D3317D" w:rsidRDefault="005D11DF" w:rsidP="005D11DF">
      <w:pPr>
        <w:pStyle w:val="ListParagraph"/>
        <w:widowControl w:val="0"/>
        <w:numPr>
          <w:ilvl w:val="0"/>
          <w:numId w:val="12"/>
        </w:numPr>
        <w:suppressAutoHyphens/>
        <w:spacing w:before="120" w:after="240" w:line="264" w:lineRule="auto"/>
        <w:contextualSpacing w:val="0"/>
      </w:pPr>
      <w:r w:rsidRPr="00FC3568">
        <w:t xml:space="preserve">To strengthen the implementation of Requirement </w:t>
      </w:r>
      <w:r w:rsidRPr="00CC5A33">
        <w:rPr>
          <w:b/>
        </w:rPr>
        <w:t>6.3</w:t>
      </w:r>
      <w:r w:rsidRPr="00FC3568">
        <w:t xml:space="preserve">, Germany may wish to consider disclosing the contribution of the extractive sector to the GDP of resource-rich states. The MSG may also wish to consider presenting subsidies and tax concessions provided to extractive </w:t>
      </w:r>
      <w:proofErr w:type="gramStart"/>
      <w:r w:rsidR="00F87891" w:rsidRPr="00FC3568">
        <w:t>companies</w:t>
      </w:r>
      <w:proofErr w:type="gramEnd"/>
      <w:r w:rsidRPr="00FC3568">
        <w:t xml:space="preserve"> side-by-side with total government revenue from the sector.</w:t>
      </w:r>
    </w:p>
    <w:p w14:paraId="1CA78A63" w14:textId="77777777" w:rsidR="005D11DF" w:rsidRDefault="005D11DF" w:rsidP="005D11DF">
      <w:pPr>
        <w:pStyle w:val="ListParagraph"/>
        <w:widowControl w:val="0"/>
        <w:numPr>
          <w:ilvl w:val="0"/>
          <w:numId w:val="12"/>
        </w:numPr>
        <w:suppressAutoHyphens/>
        <w:spacing w:before="120" w:after="240" w:line="264" w:lineRule="auto"/>
        <w:contextualSpacing w:val="0"/>
        <w:rPr>
          <w:lang w:val="en-US"/>
        </w:rPr>
      </w:pPr>
      <w:r>
        <w:rPr>
          <w:lang w:val="en-US"/>
        </w:rPr>
        <w:t xml:space="preserve">To strengthen the implementation of Requirement </w:t>
      </w:r>
      <w:r>
        <w:rPr>
          <w:b/>
          <w:lang w:val="en-US"/>
        </w:rPr>
        <w:t>7.1</w:t>
      </w:r>
      <w:r>
        <w:rPr>
          <w:lang w:val="en-US"/>
        </w:rPr>
        <w:t xml:space="preserve">, the MSG is encouraged to review the communications strategy. The MSG is encouraged to assess whether there is interest in revenue data on the local level, as well as to assess the comprehensiveness and user-friendliness of data on beneficial ownership and licenses. </w:t>
      </w:r>
    </w:p>
    <w:p w14:paraId="6274B52E" w14:textId="77777777" w:rsidR="005D11DF" w:rsidRDefault="005D11DF" w:rsidP="005D11DF">
      <w:pPr>
        <w:pStyle w:val="ListParagraph"/>
        <w:widowControl w:val="0"/>
        <w:numPr>
          <w:ilvl w:val="0"/>
          <w:numId w:val="12"/>
        </w:numPr>
        <w:suppressAutoHyphens/>
        <w:spacing w:before="120" w:after="240" w:line="264" w:lineRule="auto"/>
        <w:contextualSpacing w:val="0"/>
        <w:rPr>
          <w:lang w:val="en-US"/>
        </w:rPr>
      </w:pPr>
      <w:r>
        <w:rPr>
          <w:lang w:val="en-US"/>
        </w:rPr>
        <w:t xml:space="preserve">The MSG may wish to consider exploring other content forms to present information on their report portal, to make it more engaging, and consider adding a search function to the page (Requirement </w:t>
      </w:r>
      <w:r>
        <w:rPr>
          <w:b/>
          <w:lang w:val="en-US"/>
        </w:rPr>
        <w:t>7.2</w:t>
      </w:r>
      <w:r w:rsidRPr="002F71A8">
        <w:rPr>
          <w:lang w:val="en-US"/>
        </w:rPr>
        <w:t>)</w:t>
      </w:r>
      <w:r>
        <w:rPr>
          <w:lang w:val="en-US"/>
        </w:rPr>
        <w:t>.</w:t>
      </w:r>
    </w:p>
    <w:p w14:paraId="32578EE9" w14:textId="77777777" w:rsidR="005D11DF" w:rsidRDefault="005D11DF" w:rsidP="005D11DF">
      <w:pPr>
        <w:pStyle w:val="ListParagraph"/>
        <w:widowControl w:val="0"/>
        <w:numPr>
          <w:ilvl w:val="0"/>
          <w:numId w:val="12"/>
        </w:numPr>
        <w:suppressAutoHyphens/>
        <w:spacing w:before="120" w:after="240" w:line="264" w:lineRule="auto"/>
        <w:contextualSpacing w:val="0"/>
        <w:rPr>
          <w:lang w:val="en-US"/>
        </w:rPr>
      </w:pPr>
      <w:r>
        <w:rPr>
          <w:lang w:val="en-US"/>
        </w:rPr>
        <w:t xml:space="preserve">To increase the relevance and interest in the Germany may wish to consider including more recent data on the report portal than the year of report covered, if that data is available (Requirement </w:t>
      </w:r>
      <w:r>
        <w:rPr>
          <w:b/>
          <w:lang w:val="en-US"/>
        </w:rPr>
        <w:t>7.2</w:t>
      </w:r>
      <w:r w:rsidRPr="002F71A8">
        <w:rPr>
          <w:lang w:val="en-US"/>
        </w:rPr>
        <w:t>)</w:t>
      </w:r>
      <w:r>
        <w:rPr>
          <w:lang w:val="en-US"/>
        </w:rPr>
        <w:t>.</w:t>
      </w:r>
    </w:p>
    <w:p w14:paraId="35790013" w14:textId="77777777" w:rsidR="00C352FD" w:rsidRDefault="00C352FD" w:rsidP="00C352FD">
      <w:pPr>
        <w:spacing w:after="0" w:line="240" w:lineRule="auto"/>
        <w:rPr>
          <w:rFonts w:cstheme="minorHAnsi"/>
        </w:rPr>
      </w:pPr>
      <w:bookmarkStart w:id="4" w:name="_GoBack"/>
      <w:bookmarkEnd w:id="4"/>
    </w:p>
    <w:p w14:paraId="7E04B2AA" w14:textId="77777777" w:rsidR="00C352FD" w:rsidRDefault="00C352FD" w:rsidP="00C352FD">
      <w:pPr>
        <w:spacing w:after="0" w:line="240" w:lineRule="auto"/>
        <w:rPr>
          <w:rFonts w:cstheme="minorHAnsi"/>
        </w:rPr>
      </w:pPr>
    </w:p>
    <w:p w14:paraId="7053208A" w14:textId="2CC17537" w:rsidR="000608BE" w:rsidRPr="000608BE" w:rsidRDefault="000608BE" w:rsidP="002E590F">
      <w:pPr>
        <w:widowControl w:val="0"/>
        <w:suppressAutoHyphens/>
        <w:spacing w:after="0" w:line="240" w:lineRule="auto"/>
        <w:jc w:val="center"/>
        <w:rPr>
          <w:rFonts w:cstheme="minorHAnsi"/>
        </w:rPr>
      </w:pPr>
      <w:r>
        <w:rPr>
          <w:rFonts w:cstheme="minorHAnsi"/>
        </w:rPr>
        <w:t>***</w:t>
      </w:r>
    </w:p>
    <w:sectPr w:rsidR="000608BE" w:rsidRPr="000608BE" w:rsidSect="00C71C1F">
      <w:footerReference w:type="even" r:id="rId8"/>
      <w:footerReference w:type="default" r:id="rId9"/>
      <w:pgSz w:w="12240" w:h="15840" w:code="1"/>
      <w:pgMar w:top="1170" w:right="1260"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1199" w14:textId="77777777" w:rsidR="0072498E" w:rsidRDefault="0072498E" w:rsidP="00186F04">
      <w:pPr>
        <w:spacing w:after="0" w:line="240" w:lineRule="auto"/>
      </w:pPr>
      <w:r>
        <w:separator/>
      </w:r>
    </w:p>
    <w:p w14:paraId="74030175" w14:textId="77777777" w:rsidR="0072498E" w:rsidRDefault="0072498E"/>
  </w:endnote>
  <w:endnote w:type="continuationSeparator" w:id="0">
    <w:p w14:paraId="070A2AA6" w14:textId="77777777" w:rsidR="0072498E" w:rsidRDefault="0072498E" w:rsidP="00186F04">
      <w:pPr>
        <w:spacing w:after="0" w:line="240" w:lineRule="auto"/>
      </w:pPr>
      <w:r>
        <w:continuationSeparator/>
      </w:r>
    </w:p>
    <w:p w14:paraId="2C12E4FE" w14:textId="77777777" w:rsidR="0072498E" w:rsidRDefault="00724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4F37" w14:textId="77777777" w:rsidR="005D11DF" w:rsidRDefault="005D11DF"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5D11DF" w:rsidRDefault="005D11DF" w:rsidP="00185BF5">
    <w:pPr>
      <w:pStyle w:val="Footer"/>
      <w:ind w:right="360"/>
    </w:pPr>
  </w:p>
  <w:p w14:paraId="6AE44B27" w14:textId="77777777" w:rsidR="00000000" w:rsidRDefault="007249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3647" w14:textId="4E64F234" w:rsidR="005D11DF" w:rsidRDefault="005D11DF"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BBB">
      <w:rPr>
        <w:rStyle w:val="PageNumber"/>
        <w:noProof/>
      </w:rPr>
      <w:t>2</w:t>
    </w:r>
    <w:r>
      <w:rPr>
        <w:rStyle w:val="PageNumber"/>
      </w:rPr>
      <w:fldChar w:fldCharType="end"/>
    </w:r>
  </w:p>
  <w:p w14:paraId="57266DD4" w14:textId="77777777" w:rsidR="005D11DF" w:rsidRDefault="005D11DF" w:rsidP="00185BF5">
    <w:pPr>
      <w:pStyle w:val="Footer"/>
      <w:ind w:right="360"/>
    </w:pPr>
  </w:p>
  <w:p w14:paraId="4C25715A" w14:textId="77777777" w:rsidR="00000000" w:rsidRDefault="00724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E1AA" w14:textId="77777777" w:rsidR="0072498E" w:rsidRDefault="0072498E" w:rsidP="00186F04">
      <w:pPr>
        <w:spacing w:after="0" w:line="240" w:lineRule="auto"/>
      </w:pPr>
      <w:r>
        <w:separator/>
      </w:r>
    </w:p>
    <w:p w14:paraId="027EF58D" w14:textId="77777777" w:rsidR="0072498E" w:rsidRDefault="0072498E"/>
  </w:footnote>
  <w:footnote w:type="continuationSeparator" w:id="0">
    <w:p w14:paraId="78B53779" w14:textId="77777777" w:rsidR="0072498E" w:rsidRDefault="0072498E" w:rsidP="00186F04">
      <w:pPr>
        <w:spacing w:after="0" w:line="240" w:lineRule="auto"/>
      </w:pPr>
      <w:r>
        <w:continuationSeparator/>
      </w:r>
    </w:p>
    <w:p w14:paraId="5B1E1464" w14:textId="77777777" w:rsidR="0072498E" w:rsidRDefault="0072498E"/>
  </w:footnote>
  <w:footnote w:id="1">
    <w:p w14:paraId="3275A022" w14:textId="77777777" w:rsidR="005D11DF" w:rsidRPr="007F4D0D" w:rsidRDefault="005D11DF" w:rsidP="002353C5">
      <w:pPr>
        <w:pStyle w:val="FootnoteText"/>
      </w:pPr>
      <w:r w:rsidRPr="007F4D0D">
        <w:rPr>
          <w:rStyle w:val="FootnoteReference"/>
        </w:rPr>
        <w:footnoteRef/>
      </w:r>
      <w:r w:rsidRPr="007F4D0D">
        <w:t xml:space="preserve"> See e.g. </w:t>
      </w:r>
      <w:sdt>
        <w:sdtPr>
          <w:id w:val="-31577481"/>
          <w:citation/>
        </w:sdtPr>
        <w:sdtEndPr/>
        <w:sdtContent>
          <w:r>
            <w:fldChar w:fldCharType="begin"/>
          </w:r>
          <w:r w:rsidRPr="00D85A5D">
            <w:instrText xml:space="preserve"> CITATION Vau18 \l 1044 </w:instrText>
          </w:r>
          <w:r>
            <w:fldChar w:fldCharType="separate"/>
          </w:r>
          <w:r>
            <w:rPr>
              <w:noProof/>
            </w:rPr>
            <w:t>(Vaughan, 2018)</w:t>
          </w:r>
          <w:r>
            <w:fldChar w:fldCharType="end"/>
          </w:r>
        </w:sdtContent>
      </w:sdt>
    </w:p>
  </w:footnote>
  <w:footnote w:id="2">
    <w:p w14:paraId="658D1137" w14:textId="77777777" w:rsidR="005D11DF" w:rsidRPr="007F4D0D" w:rsidRDefault="005D11DF" w:rsidP="002353C5">
      <w:pPr>
        <w:pStyle w:val="FootnoteText"/>
      </w:pPr>
      <w:r w:rsidRPr="007F4D0D">
        <w:rPr>
          <w:rStyle w:val="FootnoteReference"/>
        </w:rPr>
        <w:footnoteRef/>
      </w:r>
      <w:r w:rsidRPr="007F4D0D">
        <w:t xml:space="preserve"> Section 7 of the 2016 EITI Report.</w:t>
      </w:r>
    </w:p>
  </w:footnote>
  <w:footnote w:id="3">
    <w:p w14:paraId="6FDA5527" w14:textId="77777777" w:rsidR="005D11DF" w:rsidRPr="007F4D0D" w:rsidRDefault="005D11DF" w:rsidP="002353C5">
      <w:pPr>
        <w:pStyle w:val="FootnoteText"/>
      </w:pPr>
      <w:r w:rsidRPr="007F4D0D">
        <w:rPr>
          <w:rStyle w:val="FootnoteReference"/>
        </w:rPr>
        <w:footnoteRef/>
      </w:r>
      <w:r w:rsidRPr="007F4D0D">
        <w:t xml:space="preserve"> Section 5 of the 2016 EITI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950424A0"/>
    <w:lvl w:ilvl="0" w:tplc="8A123D1C">
      <w:start w:val="1"/>
      <w:numFmt w:val="decimal"/>
      <w:lvlText w:val="%1."/>
      <w:lvlJc w:val="left"/>
      <w:pPr>
        <w:ind w:left="360" w:hanging="360"/>
      </w:pPr>
      <w:rPr>
        <w:rFonts w:hint="default"/>
        <w:color w:val="365F91" w:themeColor="accent1" w:themeShade="BF"/>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CDF3C69"/>
    <w:multiLevelType w:val="hybridMultilevel"/>
    <w:tmpl w:val="2CFC2280"/>
    <w:lvl w:ilvl="0" w:tplc="09BE060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343038"/>
    <w:multiLevelType w:val="multilevel"/>
    <w:tmpl w:val="1FC4F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46FF9"/>
    <w:multiLevelType w:val="multilevel"/>
    <w:tmpl w:val="063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
  </w:num>
  <w:num w:numId="7">
    <w:abstractNumId w:val="8"/>
  </w:num>
  <w:num w:numId="8">
    <w:abstractNumId w:val="4"/>
  </w:num>
  <w:num w:numId="9">
    <w:abstractNumId w:val="0"/>
  </w:num>
  <w:num w:numId="10">
    <w:abstractNumId w:val="9"/>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76"/>
    <w:rsid w:val="0000008D"/>
    <w:rsid w:val="00000EAA"/>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4BBB"/>
    <w:rsid w:val="00166319"/>
    <w:rsid w:val="00171CE0"/>
    <w:rsid w:val="00172322"/>
    <w:rsid w:val="001748FF"/>
    <w:rsid w:val="00176B8D"/>
    <w:rsid w:val="0017792C"/>
    <w:rsid w:val="0018007F"/>
    <w:rsid w:val="001817EE"/>
    <w:rsid w:val="00182F37"/>
    <w:rsid w:val="0018358C"/>
    <w:rsid w:val="00184391"/>
    <w:rsid w:val="00185BF5"/>
    <w:rsid w:val="001861D5"/>
    <w:rsid w:val="0018631A"/>
    <w:rsid w:val="0018662B"/>
    <w:rsid w:val="00186F04"/>
    <w:rsid w:val="00191216"/>
    <w:rsid w:val="001921DC"/>
    <w:rsid w:val="001946A4"/>
    <w:rsid w:val="00197D6B"/>
    <w:rsid w:val="001A132E"/>
    <w:rsid w:val="001A386F"/>
    <w:rsid w:val="001A4E34"/>
    <w:rsid w:val="001A50F7"/>
    <w:rsid w:val="001A6431"/>
    <w:rsid w:val="001B3B6F"/>
    <w:rsid w:val="001C1952"/>
    <w:rsid w:val="001C33F5"/>
    <w:rsid w:val="001C3829"/>
    <w:rsid w:val="001D3A2B"/>
    <w:rsid w:val="001D4318"/>
    <w:rsid w:val="001D68E2"/>
    <w:rsid w:val="001D759A"/>
    <w:rsid w:val="001F0A27"/>
    <w:rsid w:val="001F6B6D"/>
    <w:rsid w:val="00200EC6"/>
    <w:rsid w:val="00201632"/>
    <w:rsid w:val="00201EB8"/>
    <w:rsid w:val="00205C1B"/>
    <w:rsid w:val="00205CD3"/>
    <w:rsid w:val="00205F21"/>
    <w:rsid w:val="002109FB"/>
    <w:rsid w:val="002200AD"/>
    <w:rsid w:val="0022274E"/>
    <w:rsid w:val="002234D7"/>
    <w:rsid w:val="002319CA"/>
    <w:rsid w:val="00232B37"/>
    <w:rsid w:val="00233DB9"/>
    <w:rsid w:val="002353C5"/>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4673"/>
    <w:rsid w:val="00275241"/>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801"/>
    <w:rsid w:val="002B2A68"/>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F4158"/>
    <w:rsid w:val="002F594B"/>
    <w:rsid w:val="002F73B1"/>
    <w:rsid w:val="00303148"/>
    <w:rsid w:val="00306890"/>
    <w:rsid w:val="00307CAE"/>
    <w:rsid w:val="00307DC4"/>
    <w:rsid w:val="00310D77"/>
    <w:rsid w:val="00315CBE"/>
    <w:rsid w:val="003166B3"/>
    <w:rsid w:val="00320061"/>
    <w:rsid w:val="00321499"/>
    <w:rsid w:val="0032211D"/>
    <w:rsid w:val="0032249A"/>
    <w:rsid w:val="00325E55"/>
    <w:rsid w:val="003267A5"/>
    <w:rsid w:val="0033180A"/>
    <w:rsid w:val="00333DBB"/>
    <w:rsid w:val="00334685"/>
    <w:rsid w:val="0033525E"/>
    <w:rsid w:val="00340268"/>
    <w:rsid w:val="00344212"/>
    <w:rsid w:val="00346286"/>
    <w:rsid w:val="00351B5C"/>
    <w:rsid w:val="00362704"/>
    <w:rsid w:val="00363CA8"/>
    <w:rsid w:val="0036418F"/>
    <w:rsid w:val="00364807"/>
    <w:rsid w:val="0036521A"/>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856"/>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879"/>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D99"/>
    <w:rsid w:val="00465FBB"/>
    <w:rsid w:val="004663D8"/>
    <w:rsid w:val="00466F03"/>
    <w:rsid w:val="0047251C"/>
    <w:rsid w:val="00474234"/>
    <w:rsid w:val="00474343"/>
    <w:rsid w:val="00474858"/>
    <w:rsid w:val="004752AF"/>
    <w:rsid w:val="00476A12"/>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7604"/>
    <w:rsid w:val="005C0DD5"/>
    <w:rsid w:val="005C3ADE"/>
    <w:rsid w:val="005C3DCD"/>
    <w:rsid w:val="005C7005"/>
    <w:rsid w:val="005D0773"/>
    <w:rsid w:val="005D0D9D"/>
    <w:rsid w:val="005D11DF"/>
    <w:rsid w:val="005D146A"/>
    <w:rsid w:val="005D4E65"/>
    <w:rsid w:val="005D64D1"/>
    <w:rsid w:val="005D74C7"/>
    <w:rsid w:val="005E258B"/>
    <w:rsid w:val="005E2F26"/>
    <w:rsid w:val="005E6402"/>
    <w:rsid w:val="005E7CB7"/>
    <w:rsid w:val="005F391B"/>
    <w:rsid w:val="005F55FB"/>
    <w:rsid w:val="00604FF2"/>
    <w:rsid w:val="00614D35"/>
    <w:rsid w:val="0061665A"/>
    <w:rsid w:val="006227AF"/>
    <w:rsid w:val="00623492"/>
    <w:rsid w:val="00623D3C"/>
    <w:rsid w:val="00623EF8"/>
    <w:rsid w:val="006274A2"/>
    <w:rsid w:val="00627573"/>
    <w:rsid w:val="00633888"/>
    <w:rsid w:val="00635030"/>
    <w:rsid w:val="00635575"/>
    <w:rsid w:val="006369C6"/>
    <w:rsid w:val="00637542"/>
    <w:rsid w:val="00637ED8"/>
    <w:rsid w:val="00641943"/>
    <w:rsid w:val="00645AC4"/>
    <w:rsid w:val="00646249"/>
    <w:rsid w:val="00650747"/>
    <w:rsid w:val="006511EE"/>
    <w:rsid w:val="006528B2"/>
    <w:rsid w:val="00655133"/>
    <w:rsid w:val="00655EB3"/>
    <w:rsid w:val="00656C60"/>
    <w:rsid w:val="00656DBA"/>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96BAB"/>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10D95"/>
    <w:rsid w:val="007122AF"/>
    <w:rsid w:val="007144B0"/>
    <w:rsid w:val="007148AA"/>
    <w:rsid w:val="007173FD"/>
    <w:rsid w:val="00717845"/>
    <w:rsid w:val="007211CC"/>
    <w:rsid w:val="00721280"/>
    <w:rsid w:val="00721C29"/>
    <w:rsid w:val="0072316D"/>
    <w:rsid w:val="00723260"/>
    <w:rsid w:val="0072498E"/>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5E89"/>
    <w:rsid w:val="007F60D3"/>
    <w:rsid w:val="007F730B"/>
    <w:rsid w:val="00800CDD"/>
    <w:rsid w:val="00802D4A"/>
    <w:rsid w:val="00803CB3"/>
    <w:rsid w:val="0080431C"/>
    <w:rsid w:val="008116D3"/>
    <w:rsid w:val="00813694"/>
    <w:rsid w:val="00815301"/>
    <w:rsid w:val="0081641D"/>
    <w:rsid w:val="00823D46"/>
    <w:rsid w:val="00824402"/>
    <w:rsid w:val="00830F20"/>
    <w:rsid w:val="00833DCA"/>
    <w:rsid w:val="00840C7F"/>
    <w:rsid w:val="0084290B"/>
    <w:rsid w:val="00850815"/>
    <w:rsid w:val="0085150B"/>
    <w:rsid w:val="00852CC3"/>
    <w:rsid w:val="00857314"/>
    <w:rsid w:val="00860B70"/>
    <w:rsid w:val="00860D5F"/>
    <w:rsid w:val="00865D33"/>
    <w:rsid w:val="008661EA"/>
    <w:rsid w:val="00874A03"/>
    <w:rsid w:val="00874C2F"/>
    <w:rsid w:val="00874CF2"/>
    <w:rsid w:val="008761C1"/>
    <w:rsid w:val="00880491"/>
    <w:rsid w:val="008826A2"/>
    <w:rsid w:val="00886D03"/>
    <w:rsid w:val="00894529"/>
    <w:rsid w:val="0089655B"/>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6F3"/>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58DE"/>
    <w:rsid w:val="009B0699"/>
    <w:rsid w:val="009B0806"/>
    <w:rsid w:val="009B0F3B"/>
    <w:rsid w:val="009B2767"/>
    <w:rsid w:val="009B2EEB"/>
    <w:rsid w:val="009B4AC8"/>
    <w:rsid w:val="009B6799"/>
    <w:rsid w:val="009B6B17"/>
    <w:rsid w:val="009B7BDA"/>
    <w:rsid w:val="009C1A8A"/>
    <w:rsid w:val="009C4089"/>
    <w:rsid w:val="009D2723"/>
    <w:rsid w:val="009D4EA9"/>
    <w:rsid w:val="009D58E6"/>
    <w:rsid w:val="009E28B1"/>
    <w:rsid w:val="009E3509"/>
    <w:rsid w:val="009E7803"/>
    <w:rsid w:val="009E780B"/>
    <w:rsid w:val="009F2700"/>
    <w:rsid w:val="009F58C9"/>
    <w:rsid w:val="00A01C92"/>
    <w:rsid w:val="00A023FA"/>
    <w:rsid w:val="00A0249F"/>
    <w:rsid w:val="00A03FEB"/>
    <w:rsid w:val="00A15B94"/>
    <w:rsid w:val="00A16606"/>
    <w:rsid w:val="00A16EDC"/>
    <w:rsid w:val="00A1799A"/>
    <w:rsid w:val="00A20847"/>
    <w:rsid w:val="00A22D21"/>
    <w:rsid w:val="00A33B07"/>
    <w:rsid w:val="00A43946"/>
    <w:rsid w:val="00A4497F"/>
    <w:rsid w:val="00A4629A"/>
    <w:rsid w:val="00A464D8"/>
    <w:rsid w:val="00A46E39"/>
    <w:rsid w:val="00A47026"/>
    <w:rsid w:val="00A531BC"/>
    <w:rsid w:val="00A54825"/>
    <w:rsid w:val="00A57147"/>
    <w:rsid w:val="00A57487"/>
    <w:rsid w:val="00A57C07"/>
    <w:rsid w:val="00A60A4A"/>
    <w:rsid w:val="00A65255"/>
    <w:rsid w:val="00A6535B"/>
    <w:rsid w:val="00A669F4"/>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B16B3"/>
    <w:rsid w:val="00AB36FC"/>
    <w:rsid w:val="00AB786F"/>
    <w:rsid w:val="00AC0C73"/>
    <w:rsid w:val="00AC2FD8"/>
    <w:rsid w:val="00AC3332"/>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B1FF0"/>
    <w:rsid w:val="00BB2777"/>
    <w:rsid w:val="00BB2A2B"/>
    <w:rsid w:val="00BB49C2"/>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F08C5"/>
    <w:rsid w:val="00BF54B8"/>
    <w:rsid w:val="00BF5F28"/>
    <w:rsid w:val="00BF67DB"/>
    <w:rsid w:val="00C01E3B"/>
    <w:rsid w:val="00C02D6F"/>
    <w:rsid w:val="00C02F53"/>
    <w:rsid w:val="00C119F7"/>
    <w:rsid w:val="00C11D94"/>
    <w:rsid w:val="00C13980"/>
    <w:rsid w:val="00C14716"/>
    <w:rsid w:val="00C157D2"/>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A14"/>
    <w:rsid w:val="00C61C1E"/>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1DB"/>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7081"/>
    <w:rsid w:val="00D178DA"/>
    <w:rsid w:val="00D22315"/>
    <w:rsid w:val="00D236F9"/>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2429"/>
    <w:rsid w:val="00D52F3D"/>
    <w:rsid w:val="00D53A58"/>
    <w:rsid w:val="00D53CD7"/>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975"/>
    <w:rsid w:val="00DA06A3"/>
    <w:rsid w:val="00DA2313"/>
    <w:rsid w:val="00DA2638"/>
    <w:rsid w:val="00DA29C1"/>
    <w:rsid w:val="00DB02A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775B"/>
    <w:rsid w:val="00E87345"/>
    <w:rsid w:val="00E878C8"/>
    <w:rsid w:val="00E90261"/>
    <w:rsid w:val="00E907B5"/>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6D37"/>
    <w:rsid w:val="00EE0BD4"/>
    <w:rsid w:val="00EE5583"/>
    <w:rsid w:val="00EF4766"/>
    <w:rsid w:val="00EF52FF"/>
    <w:rsid w:val="00F050ED"/>
    <w:rsid w:val="00F064B2"/>
    <w:rsid w:val="00F07874"/>
    <w:rsid w:val="00F11C2A"/>
    <w:rsid w:val="00F11FEE"/>
    <w:rsid w:val="00F1219F"/>
    <w:rsid w:val="00F12713"/>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8789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628C"/>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F84F8ED9-A3A8-4B7E-9529-84FBDB3A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11D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D11D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3400ADF9-E5ED-428F-BFB2-BBAB90F7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Lebrat</dc:creator>
  <cp:keywords/>
  <dc:description/>
  <cp:lastModifiedBy>Yann Lebrat</cp:lastModifiedBy>
  <cp:revision>2</cp:revision>
  <dcterms:created xsi:type="dcterms:W3CDTF">2019-01-15T18:53:00Z</dcterms:created>
  <dcterms:modified xsi:type="dcterms:W3CDTF">2019-01-15T18:53:00Z</dcterms:modified>
  <cp:category/>
</cp:coreProperties>
</file>