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CC6" w:rsidRPr="00956BF4" w:rsidRDefault="0073646E" w:rsidP="00956BF4">
      <w:pPr>
        <w:pStyle w:val="Titel"/>
        <w:rPr>
          <w:rFonts w:ascii="Arial" w:hAnsi="Arial" w:cs="Arial"/>
          <w:sz w:val="36"/>
        </w:rPr>
      </w:pPr>
      <w:r>
        <w:rPr>
          <w:rFonts w:ascii="Arial" w:hAnsi="Arial" w:cs="Arial"/>
          <w:sz w:val="36"/>
        </w:rPr>
        <w:t>Beschlussvorlagen für die 14. MSG-Sitzung</w:t>
      </w:r>
    </w:p>
    <w:p w:rsidR="00293CC2" w:rsidRPr="00956BF4" w:rsidRDefault="00293CC2" w:rsidP="003B511D">
      <w:pPr>
        <w:rPr>
          <w:rFonts w:cs="Arial"/>
          <w:szCs w:val="22"/>
        </w:rPr>
      </w:pPr>
    </w:p>
    <w:p w:rsidR="00506F20" w:rsidRDefault="00506F20" w:rsidP="00CE5C0A">
      <w:pPr>
        <w:autoSpaceDE w:val="0"/>
        <w:autoSpaceDN w:val="0"/>
        <w:adjustRightInd w:val="0"/>
        <w:rPr>
          <w:rFonts w:cs="Arial"/>
          <w:b/>
          <w:bCs/>
          <w:sz w:val="24"/>
          <w:szCs w:val="22"/>
        </w:rPr>
      </w:pPr>
    </w:p>
    <w:p w:rsidR="00293CC2" w:rsidRDefault="00293CC2" w:rsidP="00293CC2">
      <w:pPr>
        <w:pStyle w:val="berschrift1"/>
        <w:rPr>
          <w:color w:val="365F91" w:themeColor="accent1" w:themeShade="BF"/>
          <w:sz w:val="24"/>
        </w:rPr>
      </w:pPr>
      <w:r>
        <w:rPr>
          <w:color w:val="365F91" w:themeColor="accent1" w:themeShade="BF"/>
          <w:sz w:val="24"/>
        </w:rPr>
        <w:t xml:space="preserve">Unternehmensliste </w:t>
      </w:r>
    </w:p>
    <w:p w:rsidR="006324FC" w:rsidRPr="006324FC" w:rsidRDefault="006324FC" w:rsidP="006324FC">
      <w:pPr>
        <w:rPr>
          <w:lang w:eastAsia="en-US"/>
        </w:rPr>
      </w:pPr>
      <w:r>
        <w:rPr>
          <w:lang w:eastAsia="en-US"/>
        </w:rPr>
        <w:t xml:space="preserve">Entscheidung über die Nennung von Unternehmen, die nicht an der Berichterstattung zum 2. Bericht der D-EITI teilgenommen haben. </w:t>
      </w:r>
      <w:bookmarkStart w:id="0" w:name="_GoBack"/>
      <w:bookmarkEnd w:id="0"/>
    </w:p>
    <w:p w:rsidR="00293CC2" w:rsidRDefault="00293CC2" w:rsidP="00293CC2">
      <w:pPr>
        <w:spacing w:line="276" w:lineRule="auto"/>
        <w:rPr>
          <w:lang w:eastAsia="en-US"/>
        </w:rPr>
      </w:pPr>
    </w:p>
    <w:tbl>
      <w:tblPr>
        <w:tblStyle w:val="Tabellenraster"/>
        <w:tblW w:w="0" w:type="auto"/>
        <w:tblLook w:val="04A0" w:firstRow="1" w:lastRow="0" w:firstColumn="1" w:lastColumn="0" w:noHBand="0" w:noVBand="1"/>
      </w:tblPr>
      <w:tblGrid>
        <w:gridCol w:w="1555"/>
        <w:gridCol w:w="7501"/>
      </w:tblGrid>
      <w:tr w:rsidR="00293CC2" w:rsidTr="00677515">
        <w:tc>
          <w:tcPr>
            <w:tcW w:w="1555" w:type="dxa"/>
          </w:tcPr>
          <w:p w:rsidR="00293CC2" w:rsidRDefault="00293CC2" w:rsidP="003A42C3">
            <w:pPr>
              <w:spacing w:line="276" w:lineRule="auto"/>
              <w:rPr>
                <w:lang w:eastAsia="en-US"/>
              </w:rPr>
            </w:pPr>
            <w:r>
              <w:rPr>
                <w:lang w:eastAsia="en-US"/>
              </w:rPr>
              <w:t>Hintergrund</w:t>
            </w:r>
          </w:p>
        </w:tc>
        <w:tc>
          <w:tcPr>
            <w:tcW w:w="7501" w:type="dxa"/>
          </w:tcPr>
          <w:p w:rsidR="000A4C7B" w:rsidRDefault="000A4C7B" w:rsidP="00D95C54">
            <w:pPr>
              <w:spacing w:line="276" w:lineRule="auto"/>
              <w:rPr>
                <w:rFonts w:cs="Arial"/>
                <w:szCs w:val="22"/>
              </w:rPr>
            </w:pPr>
            <w:r>
              <w:rPr>
                <w:rFonts w:cs="Arial"/>
                <w:szCs w:val="22"/>
              </w:rPr>
              <w:t xml:space="preserve">Für den ersten Bericht der D-EITI hat die MSG entschieden, keine Liste der nicht berichtenden Unternehmen zu veröffentlichen. Im Rahmen des Nachtragsberichts wurde auf Grundlage der Rückmeldung des internationalen Sekretariats entschieden, im Bericht auf die im Bundesanzeiger veröffentlichten Zahlungsberichte zu verlinken, um so eine Identifikation der nicht berichtenden Unternehmen zu ermöglichen, ohne diese zu explizit zu benennen. </w:t>
            </w:r>
          </w:p>
          <w:p w:rsidR="001F7AC6" w:rsidRPr="00293CC2" w:rsidRDefault="009E60AD" w:rsidP="009E60AD">
            <w:pPr>
              <w:spacing w:line="276" w:lineRule="auto"/>
              <w:rPr>
                <w:rFonts w:cs="Arial"/>
                <w:szCs w:val="22"/>
              </w:rPr>
            </w:pPr>
            <w:r>
              <w:rPr>
                <w:rFonts w:cs="Arial"/>
                <w:szCs w:val="22"/>
              </w:rPr>
              <w:t>Da der Initial Assessment Report zu dem Schluss gekommen ist, dass diese Identifikation nicht ausreichend sei, da u.a. die Informationen auf dem Portal des Bundesanzeigers nicht im Format offener Daten vorlägen wurde weitere Maßnahmen durch die MSG geprüft (Beschluss 05.02.2019). Hier</w:t>
            </w:r>
            <w:r w:rsidR="001F7AC6">
              <w:rPr>
                <w:rFonts w:cs="Arial"/>
                <w:szCs w:val="22"/>
              </w:rPr>
              <w:t xml:space="preserve"> einigte sich die MSG auf die Veröffentlichung einer</w:t>
            </w:r>
            <w:r>
              <w:rPr>
                <w:rFonts w:cs="Arial"/>
                <w:szCs w:val="22"/>
              </w:rPr>
              <w:t xml:space="preserve"> zusammenfassenden</w:t>
            </w:r>
            <w:r w:rsidR="001F7AC6">
              <w:rPr>
                <w:rFonts w:cs="Arial"/>
                <w:szCs w:val="22"/>
              </w:rPr>
              <w:t xml:space="preserve"> Übersicht </w:t>
            </w:r>
            <w:r>
              <w:rPr>
                <w:rFonts w:cs="Arial"/>
                <w:szCs w:val="22"/>
              </w:rPr>
              <w:t>aller</w:t>
            </w:r>
            <w:r w:rsidR="001F7AC6" w:rsidRPr="001F7AC6">
              <w:rPr>
                <w:rFonts w:cs="Arial"/>
                <w:szCs w:val="22"/>
              </w:rPr>
              <w:t xml:space="preserve"> gemäß §§ 341q ff. HGB für 2016 gemeldeten Zahlungen</w:t>
            </w:r>
            <w:r>
              <w:rPr>
                <w:rFonts w:cs="Arial"/>
                <w:szCs w:val="22"/>
              </w:rPr>
              <w:t xml:space="preserve"> nach Unternehmen</w:t>
            </w:r>
            <w:r w:rsidR="006B336E">
              <w:rPr>
                <w:rFonts w:cs="Arial"/>
                <w:szCs w:val="22"/>
              </w:rPr>
              <w:t xml:space="preserve">. Dadurch sollte ein Rückschluss auf die Unternehmen, die nicht </w:t>
            </w:r>
            <w:r w:rsidR="00D95C54">
              <w:rPr>
                <w:rFonts w:cs="Arial"/>
                <w:szCs w:val="22"/>
              </w:rPr>
              <w:t xml:space="preserve">nach D-EITI </w:t>
            </w:r>
            <w:r w:rsidR="006B336E">
              <w:rPr>
                <w:rFonts w:cs="Arial"/>
                <w:szCs w:val="22"/>
              </w:rPr>
              <w:t>berichteten, erleichtert werden</w:t>
            </w:r>
            <w:r>
              <w:rPr>
                <w:rFonts w:cs="Arial"/>
                <w:szCs w:val="22"/>
              </w:rPr>
              <w:t xml:space="preserve"> und der Kritik an der Zugänglichkeit der Zahlungsberichte auf dem Bundesanzeiger begegnet werden</w:t>
            </w:r>
            <w:r w:rsidR="006B336E">
              <w:rPr>
                <w:rFonts w:cs="Arial"/>
                <w:szCs w:val="22"/>
              </w:rPr>
              <w:t>.</w:t>
            </w:r>
            <w:r w:rsidR="00D95C54">
              <w:rPr>
                <w:rFonts w:cs="Arial"/>
                <w:szCs w:val="22"/>
              </w:rPr>
              <w:t xml:space="preserve"> </w:t>
            </w:r>
            <w:r w:rsidR="00D95C54" w:rsidRPr="00D95C54">
              <w:rPr>
                <w:rFonts w:cs="Arial"/>
                <w:szCs w:val="22"/>
              </w:rPr>
              <w:t xml:space="preserve">Die Veröffentlichung der bereits im Detail zwischen </w:t>
            </w:r>
            <w:r w:rsidR="00D95C54">
              <w:rPr>
                <w:rFonts w:cs="Arial"/>
                <w:szCs w:val="22"/>
              </w:rPr>
              <w:t>Privatwirtschaft</w:t>
            </w:r>
            <w:r w:rsidR="00D95C54" w:rsidRPr="00D95C54">
              <w:rPr>
                <w:rFonts w:cs="Arial"/>
                <w:szCs w:val="22"/>
              </w:rPr>
              <w:t>, U</w:t>
            </w:r>
            <w:r w:rsidR="00D95C54">
              <w:rPr>
                <w:rFonts w:cs="Arial"/>
                <w:szCs w:val="22"/>
              </w:rPr>
              <w:t xml:space="preserve">nabhängigen </w:t>
            </w:r>
            <w:r>
              <w:rPr>
                <w:rFonts w:cs="Arial"/>
                <w:szCs w:val="22"/>
              </w:rPr>
              <w:t xml:space="preserve">Verwalter </w:t>
            </w:r>
            <w:r w:rsidR="00D95C54" w:rsidRPr="00D95C54">
              <w:rPr>
                <w:rFonts w:cs="Arial"/>
                <w:szCs w:val="22"/>
              </w:rPr>
              <w:t>und Regierung abgestimmten und fertiggestellten Excel-Tabelle wurde schließlich auf Grund rechtlicher Bedenken</w:t>
            </w:r>
            <w:r>
              <w:rPr>
                <w:rFonts w:cs="Arial"/>
                <w:szCs w:val="22"/>
              </w:rPr>
              <w:t xml:space="preserve"> seitens </w:t>
            </w:r>
            <w:r w:rsidR="00D95C54" w:rsidRPr="00D95C54">
              <w:rPr>
                <w:rFonts w:cs="Arial"/>
                <w:szCs w:val="22"/>
              </w:rPr>
              <w:t>des BMJV als auch der Datenschutzbeauftragten der GIZ GmbH (D-EI</w:t>
            </w:r>
            <w:r>
              <w:rPr>
                <w:rFonts w:cs="Arial"/>
                <w:szCs w:val="22"/>
              </w:rPr>
              <w:t xml:space="preserve">TI Sekretariat) nicht vollzogen. Diese rechtlichen Bedenken bezogen sich konkret auf die bereits erstellte Liste. </w:t>
            </w:r>
          </w:p>
        </w:tc>
      </w:tr>
      <w:tr w:rsidR="00293CC2" w:rsidTr="00677515">
        <w:tc>
          <w:tcPr>
            <w:tcW w:w="1555" w:type="dxa"/>
          </w:tcPr>
          <w:p w:rsidR="00293CC2" w:rsidRPr="00293CC2" w:rsidRDefault="00293CC2" w:rsidP="003A42C3">
            <w:pPr>
              <w:spacing w:line="276" w:lineRule="auto"/>
              <w:rPr>
                <w:b/>
                <w:lang w:eastAsia="en-US"/>
              </w:rPr>
            </w:pPr>
            <w:r w:rsidRPr="00293CC2">
              <w:rPr>
                <w:b/>
                <w:lang w:eastAsia="en-US"/>
              </w:rPr>
              <w:t>Beschlussvorlage MSG</w:t>
            </w:r>
          </w:p>
        </w:tc>
        <w:tc>
          <w:tcPr>
            <w:tcW w:w="7501" w:type="dxa"/>
          </w:tcPr>
          <w:p w:rsidR="00293CC2" w:rsidRPr="00293CC2" w:rsidRDefault="00293CC2" w:rsidP="003A42C3">
            <w:pPr>
              <w:autoSpaceDE w:val="0"/>
              <w:autoSpaceDN w:val="0"/>
              <w:adjustRightInd w:val="0"/>
              <w:spacing w:line="276" w:lineRule="auto"/>
              <w:rPr>
                <w:rFonts w:cs="Arial"/>
                <w:b/>
                <w:szCs w:val="22"/>
              </w:rPr>
            </w:pPr>
            <w:r w:rsidRPr="00293CC2">
              <w:rPr>
                <w:rFonts w:cs="Arial"/>
                <w:b/>
                <w:szCs w:val="22"/>
              </w:rPr>
              <w:t>Die MSG beschließt, dass für den zweiten D-EITI Bericht die Grundgesamtheit der Unternehmen, die unter D-EITI berichten sollen, alle Unternehmen umfasst, die Zahlungsberichte laut § 341r HGB abgegeben haben. Die MSG verweist im zweiten D-EITI Bericht auf diese Grundgesamtheit und benennt die Unternehmen, die tatsächlich unter D-EITI berichtet haben. Zudem werden die juristischen Bedenken zur Nennung von Unternehmen, die nicht unter D-EITI berichtet haben, erneut in den zweiten D-EITI Bericht aufgenommen.</w:t>
            </w:r>
          </w:p>
        </w:tc>
      </w:tr>
    </w:tbl>
    <w:p w:rsidR="00293CC2" w:rsidRPr="00956BF4" w:rsidRDefault="00293CC2" w:rsidP="00CE5C0A">
      <w:pPr>
        <w:rPr>
          <w:rFonts w:cs="Arial"/>
          <w:sz w:val="24"/>
          <w:szCs w:val="22"/>
        </w:rPr>
      </w:pPr>
    </w:p>
    <w:p w:rsidR="00956BF4" w:rsidRDefault="00956BF4" w:rsidP="00956BF4">
      <w:pPr>
        <w:autoSpaceDE w:val="0"/>
        <w:autoSpaceDN w:val="0"/>
        <w:adjustRightInd w:val="0"/>
        <w:rPr>
          <w:rFonts w:cs="Arial"/>
          <w:i/>
          <w:szCs w:val="22"/>
        </w:rPr>
      </w:pPr>
    </w:p>
    <w:sectPr w:rsidR="00956BF4" w:rsidSect="000A1B7D">
      <w:headerReference w:type="even" r:id="rId8"/>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E0D" w:rsidRDefault="00252E0D" w:rsidP="006E3E1F">
      <w:r>
        <w:separator/>
      </w:r>
    </w:p>
  </w:endnote>
  <w:endnote w:type="continuationSeparator" w:id="0">
    <w:p w:rsidR="00252E0D" w:rsidRDefault="00252E0D" w:rsidP="006E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656316"/>
      <w:docPartObj>
        <w:docPartGallery w:val="Page Numbers (Bottom of Page)"/>
        <w:docPartUnique/>
      </w:docPartObj>
    </w:sdtPr>
    <w:sdtEndPr/>
    <w:sdtContent>
      <w:p w:rsidR="00252E0D" w:rsidRDefault="00252E0D">
        <w:pPr>
          <w:pStyle w:val="Fuzeile"/>
          <w:jc w:val="right"/>
        </w:pPr>
        <w:r>
          <w:fldChar w:fldCharType="begin"/>
        </w:r>
        <w:r>
          <w:instrText>PAGE   \* MERGEFORMAT</w:instrText>
        </w:r>
        <w:r>
          <w:fldChar w:fldCharType="separate"/>
        </w:r>
        <w:r w:rsidR="006324FC">
          <w:rPr>
            <w:noProof/>
          </w:rPr>
          <w:t>1</w:t>
        </w:r>
        <w:r>
          <w:fldChar w:fldCharType="end"/>
        </w:r>
      </w:p>
    </w:sdtContent>
  </w:sdt>
  <w:p w:rsidR="00252E0D" w:rsidRDefault="00252E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E0D" w:rsidRDefault="00252E0D" w:rsidP="006E3E1F">
      <w:r>
        <w:separator/>
      </w:r>
    </w:p>
  </w:footnote>
  <w:footnote w:type="continuationSeparator" w:id="0">
    <w:p w:rsidR="00252E0D" w:rsidRDefault="00252E0D" w:rsidP="006E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0D" w:rsidRDefault="00252E0D">
    <w:pPr>
      <w:pStyle w:val="Kopfzeile"/>
    </w:pPr>
    <w:r>
      <w:rPr>
        <w:noProof/>
      </w:rPr>
      <w:drawing>
        <wp:inline distT="0" distB="0" distL="0" distR="0" wp14:anchorId="1BC47DDA" wp14:editId="72EF143C">
          <wp:extent cx="1769110" cy="308610"/>
          <wp:effectExtent l="0" t="0" r="2540" b="0"/>
          <wp:docPr id="4" name="Grafik 4"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E0D" w:rsidRDefault="00252E0D" w:rsidP="00A02ECE">
    <w:pPr>
      <w:pStyle w:val="Kopfzeile"/>
      <w:jc w:val="right"/>
    </w:pPr>
    <w:r>
      <w:rPr>
        <w:noProof/>
      </w:rPr>
      <w:drawing>
        <wp:inline distT="0" distB="0" distL="0" distR="0" wp14:anchorId="19AC3A86" wp14:editId="06602324">
          <wp:extent cx="1769110" cy="308610"/>
          <wp:effectExtent l="0" t="0" r="2540" b="0"/>
          <wp:docPr id="3" name="Grafik 3" descr="B-D-EITI Logo ohne Vorbereitungs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EITI Logo ohne Vorbereitungsgrup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308610"/>
                  </a:xfrm>
                  <a:prstGeom prst="rect">
                    <a:avLst/>
                  </a:prstGeom>
                  <a:noFill/>
                  <a:ln>
                    <a:noFill/>
                  </a:ln>
                </pic:spPr>
              </pic:pic>
            </a:graphicData>
          </a:graphic>
        </wp:inline>
      </w:drawing>
    </w:r>
  </w:p>
  <w:p w:rsidR="00252E0D" w:rsidRDefault="00252E0D">
    <w:pPr>
      <w:pStyle w:val="Kopfzeile"/>
    </w:pPr>
  </w:p>
  <w:p w:rsidR="00252E0D" w:rsidRDefault="00252E0D">
    <w:pPr>
      <w:pStyle w:val="Kopfzeile"/>
    </w:pPr>
  </w:p>
  <w:p w:rsidR="00252E0D" w:rsidRDefault="00252E0D">
    <w:pPr>
      <w:pStyle w:val="Kopfzeile"/>
    </w:pPr>
  </w:p>
  <w:p w:rsidR="00252E0D" w:rsidRDefault="00252E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011"/>
    <w:multiLevelType w:val="hybridMultilevel"/>
    <w:tmpl w:val="BA7242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B24354"/>
    <w:multiLevelType w:val="hybridMultilevel"/>
    <w:tmpl w:val="57523C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000875"/>
    <w:multiLevelType w:val="hybridMultilevel"/>
    <w:tmpl w:val="00BA47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6A7531D"/>
    <w:multiLevelType w:val="hybridMultilevel"/>
    <w:tmpl w:val="6852908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D7022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87D84"/>
    <w:multiLevelType w:val="hybridMultilevel"/>
    <w:tmpl w:val="2CF4F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E01F49"/>
    <w:multiLevelType w:val="hybridMultilevel"/>
    <w:tmpl w:val="DF7E94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11F734A"/>
    <w:multiLevelType w:val="hybridMultilevel"/>
    <w:tmpl w:val="799252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1870C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796CE8"/>
    <w:multiLevelType w:val="multilevel"/>
    <w:tmpl w:val="8B8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960CC"/>
    <w:multiLevelType w:val="hybridMultilevel"/>
    <w:tmpl w:val="5D56360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C2F61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56356D"/>
    <w:multiLevelType w:val="multilevel"/>
    <w:tmpl w:val="D652829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DA2DC7"/>
    <w:multiLevelType w:val="hybridMultilevel"/>
    <w:tmpl w:val="F370BB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5CC3851"/>
    <w:multiLevelType w:val="hybridMultilevel"/>
    <w:tmpl w:val="7A4E7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4528D3"/>
    <w:multiLevelType w:val="hybridMultilevel"/>
    <w:tmpl w:val="921E0C34"/>
    <w:lvl w:ilvl="0" w:tplc="09648FD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864778"/>
    <w:multiLevelType w:val="hybridMultilevel"/>
    <w:tmpl w:val="110C7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3357E7"/>
    <w:multiLevelType w:val="hybridMultilevel"/>
    <w:tmpl w:val="F5F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8B02A8"/>
    <w:multiLevelType w:val="hybridMultilevel"/>
    <w:tmpl w:val="FFB21E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B921172"/>
    <w:multiLevelType w:val="hybridMultilevel"/>
    <w:tmpl w:val="4B6CC1A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3F4D3191"/>
    <w:multiLevelType w:val="hybridMultilevel"/>
    <w:tmpl w:val="966C49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2EE6E07"/>
    <w:multiLevelType w:val="hybridMultilevel"/>
    <w:tmpl w:val="77BAB4B8"/>
    <w:lvl w:ilvl="0" w:tplc="837EFE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9C6BDE"/>
    <w:multiLevelType w:val="hybridMultilevel"/>
    <w:tmpl w:val="D1C4D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53006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D56304"/>
    <w:multiLevelType w:val="hybridMultilevel"/>
    <w:tmpl w:val="26362B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ED205C8"/>
    <w:multiLevelType w:val="hybridMultilevel"/>
    <w:tmpl w:val="CD863A92"/>
    <w:lvl w:ilvl="0" w:tplc="FF32B866">
      <w:start w:val="1"/>
      <w:numFmt w:val="bullet"/>
      <w:lvlText w:val=""/>
      <w:lvlJc w:val="left"/>
      <w:pPr>
        <w:ind w:left="720" w:hanging="360"/>
      </w:pPr>
      <w:rPr>
        <w:rFonts w:ascii="Wingdings 3" w:hAnsi="Wingdings 3"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2D164C5"/>
    <w:multiLevelType w:val="hybridMultilevel"/>
    <w:tmpl w:val="2CF41518"/>
    <w:lvl w:ilvl="0" w:tplc="837EFE10">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3150AB9"/>
    <w:multiLevelType w:val="hybridMultilevel"/>
    <w:tmpl w:val="0E949BD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53B1236"/>
    <w:multiLevelType w:val="hybridMultilevel"/>
    <w:tmpl w:val="CA3883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55561212"/>
    <w:multiLevelType w:val="hybridMultilevel"/>
    <w:tmpl w:val="00B2EB98"/>
    <w:lvl w:ilvl="0" w:tplc="6804D52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5E22CD"/>
    <w:multiLevelType w:val="hybridMultilevel"/>
    <w:tmpl w:val="AC9A2F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8C6531"/>
    <w:multiLevelType w:val="hybridMultilevel"/>
    <w:tmpl w:val="8498195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5A4C6DD5"/>
    <w:multiLevelType w:val="hybridMultilevel"/>
    <w:tmpl w:val="C97E73AA"/>
    <w:lvl w:ilvl="0" w:tplc="B3380BAA">
      <w:start w:val="1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150823"/>
    <w:multiLevelType w:val="hybridMultilevel"/>
    <w:tmpl w:val="CF42C8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9D3C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297C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FC68FD"/>
    <w:multiLevelType w:val="hybridMultilevel"/>
    <w:tmpl w:val="1A1AC1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BFF6CD3"/>
    <w:multiLevelType w:val="hybridMultilevel"/>
    <w:tmpl w:val="66C8A7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6C913D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826968"/>
    <w:multiLevelType w:val="hybridMultilevel"/>
    <w:tmpl w:val="EE549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770361"/>
    <w:multiLevelType w:val="hybridMultilevel"/>
    <w:tmpl w:val="BC3854DE"/>
    <w:lvl w:ilvl="0" w:tplc="837EFE10">
      <w:numFmt w:val="bullet"/>
      <w:lvlText w:val="-"/>
      <w:lvlJc w:val="left"/>
      <w:pPr>
        <w:ind w:left="720" w:hanging="360"/>
      </w:pPr>
      <w:rPr>
        <w:rFonts w:ascii="Cambria" w:eastAsiaTheme="minorEastAsia" w:hAnsi="Cambri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77396F"/>
    <w:multiLevelType w:val="hybridMultilevel"/>
    <w:tmpl w:val="EF228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66A53"/>
    <w:multiLevelType w:val="hybridMultilevel"/>
    <w:tmpl w:val="676408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43E4346"/>
    <w:multiLevelType w:val="hybridMultilevel"/>
    <w:tmpl w:val="32289D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6CC32D0"/>
    <w:multiLevelType w:val="hybridMultilevel"/>
    <w:tmpl w:val="32E29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97D7086"/>
    <w:multiLevelType w:val="hybridMultilevel"/>
    <w:tmpl w:val="0EB238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EC513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9"/>
  </w:num>
  <w:num w:numId="3">
    <w:abstractNumId w:val="29"/>
  </w:num>
  <w:num w:numId="4">
    <w:abstractNumId w:val="16"/>
  </w:num>
  <w:num w:numId="5">
    <w:abstractNumId w:val="2"/>
  </w:num>
  <w:num w:numId="6">
    <w:abstractNumId w:val="13"/>
  </w:num>
  <w:num w:numId="7">
    <w:abstractNumId w:val="6"/>
  </w:num>
  <w:num w:numId="8">
    <w:abstractNumId w:val="44"/>
  </w:num>
  <w:num w:numId="9">
    <w:abstractNumId w:val="24"/>
  </w:num>
  <w:num w:numId="10">
    <w:abstractNumId w:val="43"/>
  </w:num>
  <w:num w:numId="11">
    <w:abstractNumId w:val="20"/>
  </w:num>
  <w:num w:numId="12">
    <w:abstractNumId w:val="39"/>
  </w:num>
  <w:num w:numId="13">
    <w:abstractNumId w:val="25"/>
  </w:num>
  <w:num w:numId="14">
    <w:abstractNumId w:val="32"/>
  </w:num>
  <w:num w:numId="15">
    <w:abstractNumId w:val="15"/>
  </w:num>
  <w:num w:numId="16">
    <w:abstractNumId w:val="37"/>
  </w:num>
  <w:num w:numId="17">
    <w:abstractNumId w:val="21"/>
  </w:num>
  <w:num w:numId="18">
    <w:abstractNumId w:val="40"/>
  </w:num>
  <w:num w:numId="19">
    <w:abstractNumId w:val="26"/>
  </w:num>
  <w:num w:numId="20">
    <w:abstractNumId w:val="18"/>
  </w:num>
  <w:num w:numId="21">
    <w:abstractNumId w:val="42"/>
  </w:num>
  <w:num w:numId="22">
    <w:abstractNumId w:val="12"/>
  </w:num>
  <w:num w:numId="23">
    <w:abstractNumId w:val="7"/>
  </w:num>
  <w:num w:numId="24">
    <w:abstractNumId w:val="1"/>
  </w:num>
  <w:num w:numId="25">
    <w:abstractNumId w:val="0"/>
  </w:num>
  <w:num w:numId="26">
    <w:abstractNumId w:val="23"/>
  </w:num>
  <w:num w:numId="27">
    <w:abstractNumId w:val="38"/>
  </w:num>
  <w:num w:numId="28">
    <w:abstractNumId w:val="27"/>
  </w:num>
  <w:num w:numId="29">
    <w:abstractNumId w:val="45"/>
  </w:num>
  <w:num w:numId="30">
    <w:abstractNumId w:val="46"/>
  </w:num>
  <w:num w:numId="31">
    <w:abstractNumId w:val="5"/>
  </w:num>
  <w:num w:numId="32">
    <w:abstractNumId w:val="28"/>
  </w:num>
  <w:num w:numId="33">
    <w:abstractNumId w:val="30"/>
  </w:num>
  <w:num w:numId="34">
    <w:abstractNumId w:val="14"/>
  </w:num>
  <w:num w:numId="35">
    <w:abstractNumId w:val="10"/>
  </w:num>
  <w:num w:numId="36">
    <w:abstractNumId w:val="41"/>
  </w:num>
  <w:num w:numId="37">
    <w:abstractNumId w:val="34"/>
  </w:num>
  <w:num w:numId="38">
    <w:abstractNumId w:val="3"/>
  </w:num>
  <w:num w:numId="39">
    <w:abstractNumId w:val="11"/>
  </w:num>
  <w:num w:numId="40">
    <w:abstractNumId w:val="35"/>
  </w:num>
  <w:num w:numId="41">
    <w:abstractNumId w:val="4"/>
  </w:num>
  <w:num w:numId="42">
    <w:abstractNumId w:val="8"/>
  </w:num>
  <w:num w:numId="43">
    <w:abstractNumId w:val="22"/>
  </w:num>
  <w:num w:numId="44">
    <w:abstractNumId w:val="31"/>
  </w:num>
  <w:num w:numId="45">
    <w:abstractNumId w:val="36"/>
  </w:num>
  <w:num w:numId="46">
    <w:abstractNumId w:val="1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81"/>
  <w:drawingGridVerticalSpacing w:val="181"/>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1"/>
    <w:rsid w:val="00032089"/>
    <w:rsid w:val="00032244"/>
    <w:rsid w:val="00040AFE"/>
    <w:rsid w:val="00040BA9"/>
    <w:rsid w:val="00041BA8"/>
    <w:rsid w:val="00042698"/>
    <w:rsid w:val="0004644F"/>
    <w:rsid w:val="00047584"/>
    <w:rsid w:val="00052B20"/>
    <w:rsid w:val="00053290"/>
    <w:rsid w:val="00062883"/>
    <w:rsid w:val="00071EA3"/>
    <w:rsid w:val="00084866"/>
    <w:rsid w:val="0008516B"/>
    <w:rsid w:val="00090DC1"/>
    <w:rsid w:val="00094C5A"/>
    <w:rsid w:val="000A1B7D"/>
    <w:rsid w:val="000A4C7B"/>
    <w:rsid w:val="000B3D6D"/>
    <w:rsid w:val="000D0675"/>
    <w:rsid w:val="000D2DD5"/>
    <w:rsid w:val="000F5849"/>
    <w:rsid w:val="0012203C"/>
    <w:rsid w:val="0012296F"/>
    <w:rsid w:val="0012709B"/>
    <w:rsid w:val="00132D33"/>
    <w:rsid w:val="0014324C"/>
    <w:rsid w:val="00146E32"/>
    <w:rsid w:val="0015250E"/>
    <w:rsid w:val="00152EC6"/>
    <w:rsid w:val="0015439E"/>
    <w:rsid w:val="001545B7"/>
    <w:rsid w:val="001654D6"/>
    <w:rsid w:val="00171068"/>
    <w:rsid w:val="0019449A"/>
    <w:rsid w:val="00196930"/>
    <w:rsid w:val="0019710C"/>
    <w:rsid w:val="001A4BB6"/>
    <w:rsid w:val="001C45FD"/>
    <w:rsid w:val="001C48D2"/>
    <w:rsid w:val="001E120D"/>
    <w:rsid w:val="001F6521"/>
    <w:rsid w:val="001F7AC6"/>
    <w:rsid w:val="00204DA5"/>
    <w:rsid w:val="002056CB"/>
    <w:rsid w:val="0021104E"/>
    <w:rsid w:val="002153E7"/>
    <w:rsid w:val="00217720"/>
    <w:rsid w:val="002270F1"/>
    <w:rsid w:val="0024711B"/>
    <w:rsid w:val="00251CA9"/>
    <w:rsid w:val="00252E0D"/>
    <w:rsid w:val="00293CC2"/>
    <w:rsid w:val="002A010A"/>
    <w:rsid w:val="002B3DE5"/>
    <w:rsid w:val="002B4663"/>
    <w:rsid w:val="002C3E3D"/>
    <w:rsid w:val="002C549E"/>
    <w:rsid w:val="002F02D2"/>
    <w:rsid w:val="003206AA"/>
    <w:rsid w:val="00323FE1"/>
    <w:rsid w:val="0034398A"/>
    <w:rsid w:val="00345034"/>
    <w:rsid w:val="00360194"/>
    <w:rsid w:val="0036235D"/>
    <w:rsid w:val="003672BE"/>
    <w:rsid w:val="003701F5"/>
    <w:rsid w:val="00387626"/>
    <w:rsid w:val="00392388"/>
    <w:rsid w:val="00395DC6"/>
    <w:rsid w:val="003972D4"/>
    <w:rsid w:val="003A3174"/>
    <w:rsid w:val="003A73D7"/>
    <w:rsid w:val="003B511D"/>
    <w:rsid w:val="003D303D"/>
    <w:rsid w:val="003F21AA"/>
    <w:rsid w:val="003F6A43"/>
    <w:rsid w:val="00406AD3"/>
    <w:rsid w:val="00407BD7"/>
    <w:rsid w:val="0042144C"/>
    <w:rsid w:val="00434EA1"/>
    <w:rsid w:val="004431F2"/>
    <w:rsid w:val="00443F8D"/>
    <w:rsid w:val="00462E49"/>
    <w:rsid w:val="004A4EC9"/>
    <w:rsid w:val="004B0D83"/>
    <w:rsid w:val="004B3B7D"/>
    <w:rsid w:val="004D4346"/>
    <w:rsid w:val="004D6474"/>
    <w:rsid w:val="00506F20"/>
    <w:rsid w:val="00521A16"/>
    <w:rsid w:val="0052405F"/>
    <w:rsid w:val="00534231"/>
    <w:rsid w:val="00540528"/>
    <w:rsid w:val="005420FC"/>
    <w:rsid w:val="00554E86"/>
    <w:rsid w:val="00555F69"/>
    <w:rsid w:val="00557159"/>
    <w:rsid w:val="00590D9A"/>
    <w:rsid w:val="005A0180"/>
    <w:rsid w:val="005A72E1"/>
    <w:rsid w:val="005B14CF"/>
    <w:rsid w:val="005D2D1D"/>
    <w:rsid w:val="005D4065"/>
    <w:rsid w:val="005E2E1C"/>
    <w:rsid w:val="005E67C3"/>
    <w:rsid w:val="005F17F6"/>
    <w:rsid w:val="005F3119"/>
    <w:rsid w:val="005F4BFE"/>
    <w:rsid w:val="006213FC"/>
    <w:rsid w:val="0062311D"/>
    <w:rsid w:val="00624691"/>
    <w:rsid w:val="006324FC"/>
    <w:rsid w:val="00634215"/>
    <w:rsid w:val="00646CDE"/>
    <w:rsid w:val="00675A34"/>
    <w:rsid w:val="00677515"/>
    <w:rsid w:val="00692862"/>
    <w:rsid w:val="006B336E"/>
    <w:rsid w:val="006C5A1D"/>
    <w:rsid w:val="006D20E1"/>
    <w:rsid w:val="006E3E1F"/>
    <w:rsid w:val="006F1444"/>
    <w:rsid w:val="00704B92"/>
    <w:rsid w:val="00705278"/>
    <w:rsid w:val="0071623B"/>
    <w:rsid w:val="007227F8"/>
    <w:rsid w:val="0073564C"/>
    <w:rsid w:val="0073646E"/>
    <w:rsid w:val="0074550E"/>
    <w:rsid w:val="00750A59"/>
    <w:rsid w:val="00757F7A"/>
    <w:rsid w:val="00775EE3"/>
    <w:rsid w:val="0078275C"/>
    <w:rsid w:val="00783121"/>
    <w:rsid w:val="0078674E"/>
    <w:rsid w:val="007A2F90"/>
    <w:rsid w:val="007B074D"/>
    <w:rsid w:val="007B618A"/>
    <w:rsid w:val="007C2735"/>
    <w:rsid w:val="007C5CB7"/>
    <w:rsid w:val="007E00A0"/>
    <w:rsid w:val="007E24FF"/>
    <w:rsid w:val="008054F6"/>
    <w:rsid w:val="00826CB6"/>
    <w:rsid w:val="00831AED"/>
    <w:rsid w:val="0085004C"/>
    <w:rsid w:val="008629AB"/>
    <w:rsid w:val="008779E9"/>
    <w:rsid w:val="008839AA"/>
    <w:rsid w:val="008850E3"/>
    <w:rsid w:val="00886D31"/>
    <w:rsid w:val="008A1723"/>
    <w:rsid w:val="008D0DF9"/>
    <w:rsid w:val="008D574B"/>
    <w:rsid w:val="008E7287"/>
    <w:rsid w:val="008E78B6"/>
    <w:rsid w:val="008F78DE"/>
    <w:rsid w:val="009031D0"/>
    <w:rsid w:val="00926877"/>
    <w:rsid w:val="00953927"/>
    <w:rsid w:val="00956BF4"/>
    <w:rsid w:val="009609E5"/>
    <w:rsid w:val="009743EB"/>
    <w:rsid w:val="00975524"/>
    <w:rsid w:val="00982451"/>
    <w:rsid w:val="009906E8"/>
    <w:rsid w:val="0099768A"/>
    <w:rsid w:val="009A4FF3"/>
    <w:rsid w:val="009A7A94"/>
    <w:rsid w:val="009C1261"/>
    <w:rsid w:val="009C46DD"/>
    <w:rsid w:val="009C511C"/>
    <w:rsid w:val="009D510F"/>
    <w:rsid w:val="009E60AD"/>
    <w:rsid w:val="009F1A20"/>
    <w:rsid w:val="00A01868"/>
    <w:rsid w:val="00A02ECE"/>
    <w:rsid w:val="00A129A4"/>
    <w:rsid w:val="00A14463"/>
    <w:rsid w:val="00A151DB"/>
    <w:rsid w:val="00A369C3"/>
    <w:rsid w:val="00A52424"/>
    <w:rsid w:val="00A55FB1"/>
    <w:rsid w:val="00A571F4"/>
    <w:rsid w:val="00A713BC"/>
    <w:rsid w:val="00A739C1"/>
    <w:rsid w:val="00A8349B"/>
    <w:rsid w:val="00A86505"/>
    <w:rsid w:val="00A95308"/>
    <w:rsid w:val="00A9576B"/>
    <w:rsid w:val="00AA3643"/>
    <w:rsid w:val="00AA3CF9"/>
    <w:rsid w:val="00AA4B1F"/>
    <w:rsid w:val="00AB0209"/>
    <w:rsid w:val="00AB4E48"/>
    <w:rsid w:val="00AC0BC1"/>
    <w:rsid w:val="00AC729D"/>
    <w:rsid w:val="00AD00C8"/>
    <w:rsid w:val="00AD3802"/>
    <w:rsid w:val="00AE1F62"/>
    <w:rsid w:val="00AE5A26"/>
    <w:rsid w:val="00AF1270"/>
    <w:rsid w:val="00B0013F"/>
    <w:rsid w:val="00B5024B"/>
    <w:rsid w:val="00B50F0B"/>
    <w:rsid w:val="00B67A8C"/>
    <w:rsid w:val="00B80393"/>
    <w:rsid w:val="00B83F8D"/>
    <w:rsid w:val="00B9513D"/>
    <w:rsid w:val="00BA56CD"/>
    <w:rsid w:val="00BA7EF2"/>
    <w:rsid w:val="00BB6B3A"/>
    <w:rsid w:val="00BB7167"/>
    <w:rsid w:val="00BD0DF0"/>
    <w:rsid w:val="00BD14FA"/>
    <w:rsid w:val="00BE44B7"/>
    <w:rsid w:val="00C07B07"/>
    <w:rsid w:val="00C3021B"/>
    <w:rsid w:val="00C365D1"/>
    <w:rsid w:val="00C374B3"/>
    <w:rsid w:val="00C40C01"/>
    <w:rsid w:val="00C54998"/>
    <w:rsid w:val="00C709A6"/>
    <w:rsid w:val="00C71095"/>
    <w:rsid w:val="00C73D28"/>
    <w:rsid w:val="00C748D6"/>
    <w:rsid w:val="00C824ED"/>
    <w:rsid w:val="00C849FC"/>
    <w:rsid w:val="00C90074"/>
    <w:rsid w:val="00CB4E31"/>
    <w:rsid w:val="00CB793F"/>
    <w:rsid w:val="00CB7E77"/>
    <w:rsid w:val="00CC173C"/>
    <w:rsid w:val="00CC2FC7"/>
    <w:rsid w:val="00CD1F05"/>
    <w:rsid w:val="00CD5896"/>
    <w:rsid w:val="00CE5C0A"/>
    <w:rsid w:val="00CF4C38"/>
    <w:rsid w:val="00CF7C26"/>
    <w:rsid w:val="00D03F46"/>
    <w:rsid w:val="00D43664"/>
    <w:rsid w:val="00D540EB"/>
    <w:rsid w:val="00D547A4"/>
    <w:rsid w:val="00D60EC9"/>
    <w:rsid w:val="00D63495"/>
    <w:rsid w:val="00D642A3"/>
    <w:rsid w:val="00D83A1E"/>
    <w:rsid w:val="00D87A00"/>
    <w:rsid w:val="00D95C54"/>
    <w:rsid w:val="00DC7B8C"/>
    <w:rsid w:val="00DD4772"/>
    <w:rsid w:val="00DD4EBE"/>
    <w:rsid w:val="00DE4186"/>
    <w:rsid w:val="00DE6B3C"/>
    <w:rsid w:val="00DF18D6"/>
    <w:rsid w:val="00DF345D"/>
    <w:rsid w:val="00DF54BB"/>
    <w:rsid w:val="00E14333"/>
    <w:rsid w:val="00E152DF"/>
    <w:rsid w:val="00E172A8"/>
    <w:rsid w:val="00E27A54"/>
    <w:rsid w:val="00E319FE"/>
    <w:rsid w:val="00E31E1C"/>
    <w:rsid w:val="00E3559E"/>
    <w:rsid w:val="00E425CB"/>
    <w:rsid w:val="00E475E9"/>
    <w:rsid w:val="00E71DA8"/>
    <w:rsid w:val="00E8069B"/>
    <w:rsid w:val="00E81518"/>
    <w:rsid w:val="00E94575"/>
    <w:rsid w:val="00E97010"/>
    <w:rsid w:val="00ED53FE"/>
    <w:rsid w:val="00EE31E6"/>
    <w:rsid w:val="00EF06B4"/>
    <w:rsid w:val="00EF3400"/>
    <w:rsid w:val="00F05D8F"/>
    <w:rsid w:val="00F06ACB"/>
    <w:rsid w:val="00F14D6C"/>
    <w:rsid w:val="00F17644"/>
    <w:rsid w:val="00F357FB"/>
    <w:rsid w:val="00F35A7A"/>
    <w:rsid w:val="00F54E91"/>
    <w:rsid w:val="00F55E8A"/>
    <w:rsid w:val="00F64FD8"/>
    <w:rsid w:val="00F812FF"/>
    <w:rsid w:val="00F81A07"/>
    <w:rsid w:val="00F857E5"/>
    <w:rsid w:val="00F91452"/>
    <w:rsid w:val="00F926C7"/>
    <w:rsid w:val="00FA16B9"/>
    <w:rsid w:val="00FA5CC6"/>
    <w:rsid w:val="00FA6ADB"/>
    <w:rsid w:val="00FB00C5"/>
    <w:rsid w:val="00FB0EB0"/>
    <w:rsid w:val="00FB1AF0"/>
    <w:rsid w:val="00FC2A8C"/>
    <w:rsid w:val="00FF59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377FF6E9"/>
  <w15:docId w15:val="{CED99E0E-D5E1-4DD1-9C55-452BE8F67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6B3C"/>
    <w:rPr>
      <w:rFonts w:ascii="Arial" w:hAnsi="Arial"/>
      <w:sz w:val="22"/>
    </w:rPr>
  </w:style>
  <w:style w:type="paragraph" w:styleId="berschrift1">
    <w:name w:val="heading 1"/>
    <w:aliases w:val="1. Überschrift"/>
    <w:basedOn w:val="Standard"/>
    <w:next w:val="Standard"/>
    <w:link w:val="berschrift1Zchn"/>
    <w:uiPriority w:val="1"/>
    <w:qFormat/>
    <w:rsid w:val="005D2D1D"/>
    <w:pPr>
      <w:keepNext/>
      <w:keepLines/>
      <w:spacing w:before="240" w:after="120"/>
      <w:outlineLvl w:val="0"/>
    </w:pPr>
    <w:rPr>
      <w:rFonts w:eastAsiaTheme="majorEastAsia" w:cstheme="majorBidi"/>
      <w:b/>
      <w:szCs w:val="28"/>
      <w:lang w:eastAsia="en-US"/>
    </w:rPr>
  </w:style>
  <w:style w:type="paragraph" w:styleId="berschrift2">
    <w:name w:val="heading 2"/>
    <w:basedOn w:val="Standard"/>
    <w:next w:val="Standard"/>
    <w:link w:val="berschrift2Zchn"/>
    <w:uiPriority w:val="9"/>
    <w:unhideWhenUsed/>
    <w:qFormat/>
    <w:rsid w:val="00C73D28"/>
    <w:pPr>
      <w:keepNext/>
      <w:keepLines/>
      <w:spacing w:before="40"/>
      <w:outlineLvl w:val="1"/>
    </w:pPr>
    <w:rPr>
      <w:rFonts w:eastAsiaTheme="majorEastAsia" w:cstheme="majorBidi"/>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E3E1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E3E1F"/>
    <w:rPr>
      <w:rFonts w:ascii="Lucida Grande" w:hAnsi="Lucida Grande"/>
      <w:sz w:val="18"/>
      <w:szCs w:val="18"/>
    </w:rPr>
  </w:style>
  <w:style w:type="paragraph" w:styleId="Kopfzeile">
    <w:name w:val="header"/>
    <w:basedOn w:val="Standard"/>
    <w:link w:val="KopfzeileZchn"/>
    <w:uiPriority w:val="99"/>
    <w:unhideWhenUsed/>
    <w:rsid w:val="006E3E1F"/>
    <w:pPr>
      <w:tabs>
        <w:tab w:val="center" w:pos="4536"/>
        <w:tab w:val="right" w:pos="9072"/>
      </w:tabs>
    </w:pPr>
  </w:style>
  <w:style w:type="character" w:customStyle="1" w:styleId="KopfzeileZchn">
    <w:name w:val="Kopfzeile Zchn"/>
    <w:basedOn w:val="Absatz-Standardschriftart"/>
    <w:link w:val="Kopfzeile"/>
    <w:uiPriority w:val="99"/>
    <w:rsid w:val="006E3E1F"/>
  </w:style>
  <w:style w:type="paragraph" w:styleId="Fuzeile">
    <w:name w:val="footer"/>
    <w:basedOn w:val="Standard"/>
    <w:link w:val="FuzeileZchn"/>
    <w:uiPriority w:val="99"/>
    <w:unhideWhenUsed/>
    <w:rsid w:val="006E3E1F"/>
    <w:pPr>
      <w:tabs>
        <w:tab w:val="center" w:pos="4536"/>
        <w:tab w:val="right" w:pos="9072"/>
      </w:tabs>
    </w:pPr>
  </w:style>
  <w:style w:type="character" w:customStyle="1" w:styleId="FuzeileZchn">
    <w:name w:val="Fußzeile Zchn"/>
    <w:basedOn w:val="Absatz-Standardschriftart"/>
    <w:link w:val="Fuzeile"/>
    <w:uiPriority w:val="99"/>
    <w:rsid w:val="006E3E1F"/>
  </w:style>
  <w:style w:type="paragraph" w:styleId="Funotentext">
    <w:name w:val="footnote text"/>
    <w:basedOn w:val="Standard"/>
    <w:link w:val="FunotentextZchn"/>
    <w:uiPriority w:val="99"/>
    <w:unhideWhenUsed/>
    <w:rsid w:val="0019449A"/>
  </w:style>
  <w:style w:type="character" w:customStyle="1" w:styleId="FunotentextZchn">
    <w:name w:val="Fußnotentext Zchn"/>
    <w:basedOn w:val="Absatz-Standardschriftart"/>
    <w:link w:val="Funotentext"/>
    <w:uiPriority w:val="99"/>
    <w:rsid w:val="0019449A"/>
  </w:style>
  <w:style w:type="character" w:styleId="Funotenzeichen">
    <w:name w:val="footnote reference"/>
    <w:basedOn w:val="Absatz-Standardschriftart"/>
    <w:uiPriority w:val="99"/>
    <w:unhideWhenUsed/>
    <w:rsid w:val="0019449A"/>
    <w:rPr>
      <w:vertAlign w:val="superscript"/>
    </w:rPr>
  </w:style>
  <w:style w:type="paragraph" w:styleId="StandardWeb">
    <w:name w:val="Normal (Web)"/>
    <w:basedOn w:val="Standard"/>
    <w:uiPriority w:val="99"/>
    <w:semiHidden/>
    <w:unhideWhenUsed/>
    <w:rsid w:val="00D87A00"/>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D87A00"/>
    <w:rPr>
      <w:b/>
      <w:bCs/>
    </w:rPr>
  </w:style>
  <w:style w:type="paragraph" w:styleId="Listenabsatz">
    <w:name w:val="List Paragraph"/>
    <w:aliases w:val="Dot pt,F5 List Paragraph,List Paragraph1,Colorful List - Accent 11,No Spacing1,List Paragraph Char Char Char,Indicator Text,Numbered Para 1,Bullet 1,Bullet Points,List Paragraph2,MAIN CONTENT,OBC Bullet,List Paragraph12,List Paragraph11"/>
    <w:basedOn w:val="Standard"/>
    <w:link w:val="ListenabsatzZchn"/>
    <w:uiPriority w:val="34"/>
    <w:qFormat/>
    <w:rsid w:val="00D87A00"/>
    <w:pPr>
      <w:ind w:left="720"/>
      <w:contextualSpacing/>
    </w:pPr>
  </w:style>
  <w:style w:type="character" w:styleId="Hyperlink">
    <w:name w:val="Hyperlink"/>
    <w:basedOn w:val="Absatz-Standardschriftart"/>
    <w:uiPriority w:val="99"/>
    <w:unhideWhenUsed/>
    <w:rsid w:val="00D540EB"/>
    <w:rPr>
      <w:color w:val="0000FF" w:themeColor="hyperlink"/>
      <w:u w:val="single"/>
    </w:rPr>
  </w:style>
  <w:style w:type="paragraph" w:customStyle="1" w:styleId="Default">
    <w:name w:val="Default"/>
    <w:rsid w:val="0062311D"/>
    <w:pPr>
      <w:autoSpaceDE w:val="0"/>
      <w:autoSpaceDN w:val="0"/>
      <w:adjustRightInd w:val="0"/>
    </w:pPr>
    <w:rPr>
      <w:rFonts w:ascii="Myriad Pro" w:hAnsi="Myriad Pro" w:cs="Myriad Pro"/>
      <w:color w:val="000000"/>
    </w:rPr>
  </w:style>
  <w:style w:type="character" w:styleId="Seitenzahl">
    <w:name w:val="page number"/>
    <w:basedOn w:val="Absatz-Standardschriftart"/>
    <w:semiHidden/>
    <w:unhideWhenUsed/>
    <w:rsid w:val="008779E9"/>
  </w:style>
  <w:style w:type="character" w:customStyle="1" w:styleId="ListenabsatzZchn">
    <w:name w:val="Listenabsatz Zchn"/>
    <w:aliases w:val="Dot pt Zchn,F5 List Paragraph Zchn,List Paragraph1 Zchn,Colorful List - Accent 11 Zchn,No Spacing1 Zchn,List Paragraph Char Char Char Zchn,Indicator Text Zchn,Numbered Para 1 Zchn,Bullet 1 Zchn,Bullet Points Zchn,List Paragraph2 Zchn"/>
    <w:basedOn w:val="Absatz-Standardschriftart"/>
    <w:link w:val="Listenabsatz"/>
    <w:uiPriority w:val="34"/>
    <w:locked/>
    <w:rsid w:val="008839AA"/>
  </w:style>
  <w:style w:type="paragraph" w:customStyle="1" w:styleId="Anlage">
    <w:name w:val="Anlage"/>
    <w:basedOn w:val="Standard"/>
    <w:rsid w:val="008839AA"/>
    <w:pPr>
      <w:tabs>
        <w:tab w:val="left" w:pos="794"/>
      </w:tabs>
      <w:spacing w:before="240"/>
      <w:ind w:left="794" w:hanging="794"/>
    </w:pPr>
    <w:rPr>
      <w:rFonts w:eastAsia="Times New Roman" w:cs="Times New Roman"/>
      <w:szCs w:val="20"/>
    </w:rPr>
  </w:style>
  <w:style w:type="character" w:styleId="Kommentarzeichen">
    <w:name w:val="annotation reference"/>
    <w:basedOn w:val="Absatz-Standardschriftart"/>
    <w:uiPriority w:val="99"/>
    <w:semiHidden/>
    <w:unhideWhenUsed/>
    <w:rsid w:val="008839AA"/>
    <w:rPr>
      <w:sz w:val="16"/>
      <w:szCs w:val="16"/>
    </w:rPr>
  </w:style>
  <w:style w:type="paragraph" w:styleId="Kommentartext">
    <w:name w:val="annotation text"/>
    <w:basedOn w:val="Standard"/>
    <w:link w:val="KommentartextZchn"/>
    <w:uiPriority w:val="99"/>
    <w:semiHidden/>
    <w:unhideWhenUsed/>
    <w:rsid w:val="008839AA"/>
    <w:rPr>
      <w:sz w:val="20"/>
      <w:szCs w:val="20"/>
    </w:rPr>
  </w:style>
  <w:style w:type="character" w:customStyle="1" w:styleId="KommentartextZchn">
    <w:name w:val="Kommentartext Zchn"/>
    <w:basedOn w:val="Absatz-Standardschriftart"/>
    <w:link w:val="Kommentartext"/>
    <w:uiPriority w:val="99"/>
    <w:semiHidden/>
    <w:rsid w:val="008839AA"/>
    <w:rPr>
      <w:sz w:val="20"/>
      <w:szCs w:val="20"/>
    </w:rPr>
  </w:style>
  <w:style w:type="character" w:customStyle="1" w:styleId="berschrift1Zchn">
    <w:name w:val="Überschrift 1 Zchn"/>
    <w:aliases w:val="1. Überschrift Zchn"/>
    <w:basedOn w:val="Absatz-Standardschriftart"/>
    <w:link w:val="berschrift1"/>
    <w:uiPriority w:val="1"/>
    <w:rsid w:val="005D2D1D"/>
    <w:rPr>
      <w:rFonts w:ascii="Arial" w:eastAsiaTheme="majorEastAsia" w:hAnsi="Arial" w:cstheme="majorBidi"/>
      <w:b/>
      <w:sz w:val="22"/>
      <w:szCs w:val="28"/>
      <w:lang w:eastAsia="en-US"/>
    </w:rPr>
  </w:style>
  <w:style w:type="character" w:styleId="BesuchterLink">
    <w:name w:val="FollowedHyperlink"/>
    <w:basedOn w:val="Absatz-Standardschriftart"/>
    <w:uiPriority w:val="99"/>
    <w:semiHidden/>
    <w:unhideWhenUsed/>
    <w:rsid w:val="008E7287"/>
    <w:rPr>
      <w:color w:val="800080" w:themeColor="followedHyperlink"/>
      <w:u w:val="single"/>
    </w:rPr>
  </w:style>
  <w:style w:type="paragraph" w:styleId="Inhaltsverzeichnisberschrift">
    <w:name w:val="TOC Heading"/>
    <w:basedOn w:val="berschrift1"/>
    <w:next w:val="Standard"/>
    <w:uiPriority w:val="39"/>
    <w:unhideWhenUsed/>
    <w:qFormat/>
    <w:rsid w:val="00D60EC9"/>
    <w:pPr>
      <w:spacing w:line="259" w:lineRule="auto"/>
      <w:outlineLvl w:val="9"/>
    </w:pPr>
    <w:rPr>
      <w:rFonts w:asciiTheme="majorHAnsi" w:hAnsiTheme="majorHAnsi"/>
      <w:color w:val="365F91" w:themeColor="accent1" w:themeShade="BF"/>
      <w:sz w:val="32"/>
      <w:szCs w:val="32"/>
      <w:lang w:eastAsia="de-DE"/>
    </w:rPr>
  </w:style>
  <w:style w:type="paragraph" w:styleId="Verzeichnis1">
    <w:name w:val="toc 1"/>
    <w:basedOn w:val="Standard"/>
    <w:next w:val="Standard"/>
    <w:autoRedefine/>
    <w:uiPriority w:val="39"/>
    <w:unhideWhenUsed/>
    <w:rsid w:val="00C07B07"/>
    <w:pPr>
      <w:tabs>
        <w:tab w:val="left" w:pos="440"/>
        <w:tab w:val="right" w:leader="dot" w:pos="9056"/>
      </w:tabs>
      <w:spacing w:after="100"/>
    </w:pPr>
  </w:style>
  <w:style w:type="character" w:customStyle="1" w:styleId="berschrift2Zchn">
    <w:name w:val="Überschrift 2 Zchn"/>
    <w:basedOn w:val="Absatz-Standardschriftart"/>
    <w:link w:val="berschrift2"/>
    <w:uiPriority w:val="9"/>
    <w:rsid w:val="00C73D28"/>
    <w:rPr>
      <w:rFonts w:ascii="Arial" w:eastAsiaTheme="majorEastAsia" w:hAnsi="Arial" w:cstheme="majorBidi"/>
      <w:color w:val="000000" w:themeColor="text1"/>
      <w:szCs w:val="26"/>
    </w:rPr>
  </w:style>
  <w:style w:type="paragraph" w:styleId="Titel">
    <w:name w:val="Title"/>
    <w:basedOn w:val="Standard"/>
    <w:next w:val="Standard"/>
    <w:link w:val="TitelZchn"/>
    <w:uiPriority w:val="10"/>
    <w:qFormat/>
    <w:rsid w:val="00956BF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56BF4"/>
    <w:rPr>
      <w:rFonts w:asciiTheme="majorHAnsi" w:eastAsiaTheme="majorEastAsia" w:hAnsiTheme="majorHAnsi" w:cstheme="majorBidi"/>
      <w:spacing w:val="-10"/>
      <w:kern w:val="28"/>
      <w:sz w:val="56"/>
      <w:szCs w:val="56"/>
    </w:rPr>
  </w:style>
  <w:style w:type="table" w:styleId="Tabellenraster">
    <w:name w:val="Table Grid"/>
    <w:basedOn w:val="NormaleTabelle"/>
    <w:uiPriority w:val="59"/>
    <w:rsid w:val="00293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7803">
      <w:bodyDiv w:val="1"/>
      <w:marLeft w:val="0"/>
      <w:marRight w:val="0"/>
      <w:marTop w:val="0"/>
      <w:marBottom w:val="0"/>
      <w:divBdr>
        <w:top w:val="none" w:sz="0" w:space="0" w:color="auto"/>
        <w:left w:val="none" w:sz="0" w:space="0" w:color="auto"/>
        <w:bottom w:val="none" w:sz="0" w:space="0" w:color="auto"/>
        <w:right w:val="none" w:sz="0" w:space="0" w:color="auto"/>
      </w:divBdr>
    </w:div>
    <w:div w:id="1028217189">
      <w:bodyDiv w:val="1"/>
      <w:marLeft w:val="0"/>
      <w:marRight w:val="0"/>
      <w:marTop w:val="0"/>
      <w:marBottom w:val="0"/>
      <w:divBdr>
        <w:top w:val="none" w:sz="0" w:space="0" w:color="auto"/>
        <w:left w:val="none" w:sz="0" w:space="0" w:color="auto"/>
        <w:bottom w:val="none" w:sz="0" w:space="0" w:color="auto"/>
        <w:right w:val="none" w:sz="0" w:space="0" w:color="auto"/>
      </w:divBdr>
    </w:div>
    <w:div w:id="1070617757">
      <w:bodyDiv w:val="1"/>
      <w:marLeft w:val="0"/>
      <w:marRight w:val="0"/>
      <w:marTop w:val="0"/>
      <w:marBottom w:val="0"/>
      <w:divBdr>
        <w:top w:val="none" w:sz="0" w:space="0" w:color="auto"/>
        <w:left w:val="none" w:sz="0" w:space="0" w:color="auto"/>
        <w:bottom w:val="none" w:sz="0" w:space="0" w:color="auto"/>
        <w:right w:val="none" w:sz="0" w:space="0" w:color="auto"/>
      </w:divBdr>
    </w:div>
    <w:div w:id="1112437952">
      <w:bodyDiv w:val="1"/>
      <w:marLeft w:val="0"/>
      <w:marRight w:val="0"/>
      <w:marTop w:val="0"/>
      <w:marBottom w:val="0"/>
      <w:divBdr>
        <w:top w:val="none" w:sz="0" w:space="0" w:color="auto"/>
        <w:left w:val="none" w:sz="0" w:space="0" w:color="auto"/>
        <w:bottom w:val="none" w:sz="0" w:space="0" w:color="auto"/>
        <w:right w:val="none" w:sz="0" w:space="0" w:color="auto"/>
      </w:divBdr>
    </w:div>
    <w:div w:id="1128203492">
      <w:bodyDiv w:val="1"/>
      <w:marLeft w:val="0"/>
      <w:marRight w:val="0"/>
      <w:marTop w:val="0"/>
      <w:marBottom w:val="0"/>
      <w:divBdr>
        <w:top w:val="none" w:sz="0" w:space="0" w:color="auto"/>
        <w:left w:val="none" w:sz="0" w:space="0" w:color="auto"/>
        <w:bottom w:val="none" w:sz="0" w:space="0" w:color="auto"/>
        <w:right w:val="none" w:sz="0" w:space="0" w:color="auto"/>
      </w:divBdr>
    </w:div>
    <w:div w:id="1382368143">
      <w:bodyDiv w:val="1"/>
      <w:marLeft w:val="0"/>
      <w:marRight w:val="0"/>
      <w:marTop w:val="0"/>
      <w:marBottom w:val="0"/>
      <w:divBdr>
        <w:top w:val="none" w:sz="0" w:space="0" w:color="auto"/>
        <w:left w:val="none" w:sz="0" w:space="0" w:color="auto"/>
        <w:bottom w:val="none" w:sz="0" w:space="0" w:color="auto"/>
        <w:right w:val="none" w:sz="0" w:space="0" w:color="auto"/>
      </w:divBdr>
    </w:div>
    <w:div w:id="1525511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h_die\Desktop\D-EITI%20Vorlage_Dokume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940E-E475-4CB7-8FA4-0F062954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D-EITI Vorlage_Dokument.dotx</Template>
  <TotalTime>0</TotalTime>
  <Pages>1</Pages>
  <Words>303</Words>
  <Characters>1913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Druckreif GmbH &amp; Co. KG</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franziska.tade@giz.de</dc:creator>
  <cp:lastModifiedBy>Raeder, Boris GIZ</cp:lastModifiedBy>
  <cp:revision>2</cp:revision>
  <cp:lastPrinted>2016-03-01T09:26:00Z</cp:lastPrinted>
  <dcterms:created xsi:type="dcterms:W3CDTF">2019-04-04T17:00:00Z</dcterms:created>
  <dcterms:modified xsi:type="dcterms:W3CDTF">2019-04-04T17:00:00Z</dcterms:modified>
</cp:coreProperties>
</file>