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909F" w14:textId="3628C5E5" w:rsidR="00962129" w:rsidRPr="00962129" w:rsidRDefault="00962129" w:rsidP="00962129">
      <w:pPr>
        <w:spacing w:before="120"/>
        <w:rPr>
          <w:rFonts w:ascii="Arial" w:hAnsi="Arial" w:cs="Arial"/>
          <w:b/>
          <w:bCs/>
          <w:color w:val="1F4E79" w:themeColor="accent5" w:themeShade="80"/>
          <w:sz w:val="32"/>
          <w:szCs w:val="32"/>
        </w:rPr>
      </w:pPr>
      <w:r w:rsidRPr="00962129">
        <w:rPr>
          <w:rFonts w:ascii="Arial" w:hAnsi="Arial" w:cs="Arial"/>
          <w:b/>
          <w:bCs/>
          <w:color w:val="1F4E79" w:themeColor="accent5" w:themeShade="80"/>
          <w:sz w:val="32"/>
          <w:szCs w:val="32"/>
        </w:rPr>
        <w:t>EITI Validierung Deutschland 2023</w:t>
      </w:r>
    </w:p>
    <w:p w14:paraId="1F0CBAD9" w14:textId="09417AD7" w:rsidR="00962129" w:rsidRPr="00467146" w:rsidRDefault="00962129" w:rsidP="00962129">
      <w:pPr>
        <w:spacing w:before="120"/>
        <w:rPr>
          <w:rFonts w:ascii="Arial" w:hAnsi="Arial" w:cs="Arial"/>
          <w:color w:val="2E74B5" w:themeColor="accent5" w:themeShade="BF"/>
        </w:rPr>
      </w:pPr>
      <w:r w:rsidRPr="00467146">
        <w:rPr>
          <w:rFonts w:ascii="Arial" w:hAnsi="Arial" w:cs="Arial"/>
          <w:color w:val="2E74B5" w:themeColor="accent5" w:themeShade="BF"/>
        </w:rPr>
        <w:t>K</w:t>
      </w:r>
      <w:r w:rsidRPr="00467146">
        <w:rPr>
          <w:rFonts w:ascii="Arial" w:hAnsi="Arial" w:cs="Arial"/>
          <w:color w:val="2E74B5" w:themeColor="accent5" w:themeShade="BF"/>
        </w:rPr>
        <w:t xml:space="preserve">onsolidierte Position der </w:t>
      </w:r>
      <w:r w:rsidRPr="00823943">
        <w:rPr>
          <w:rFonts w:ascii="Arial" w:hAnsi="Arial" w:cs="Arial"/>
          <w:color w:val="2E74B5" w:themeColor="accent5" w:themeShade="BF"/>
          <w:u w:val="single"/>
        </w:rPr>
        <w:t>Privatwirtschaft</w:t>
      </w:r>
      <w:r w:rsidRPr="00467146">
        <w:rPr>
          <w:rFonts w:ascii="Arial" w:hAnsi="Arial" w:cs="Arial"/>
          <w:color w:val="2E74B5" w:themeColor="accent5" w:themeShade="BF"/>
        </w:rPr>
        <w:t xml:space="preserve"> zu </w:t>
      </w:r>
      <w:r w:rsidRPr="00467146">
        <w:rPr>
          <w:rFonts w:ascii="Arial" w:hAnsi="Arial" w:cs="Arial"/>
          <w:color w:val="2E74B5" w:themeColor="accent5" w:themeShade="BF"/>
        </w:rPr>
        <w:t>einzelnen</w:t>
      </w:r>
      <w:r w:rsidR="00823943">
        <w:rPr>
          <w:rFonts w:ascii="Arial" w:hAnsi="Arial" w:cs="Arial"/>
          <w:color w:val="2E74B5" w:themeColor="accent5" w:themeShade="BF"/>
        </w:rPr>
        <w:t xml:space="preserve"> </w:t>
      </w:r>
      <w:proofErr w:type="gramStart"/>
      <w:r w:rsidR="00823943">
        <w:rPr>
          <w:rFonts w:ascii="Arial" w:hAnsi="Arial" w:cs="Arial"/>
          <w:color w:val="2E74B5" w:themeColor="accent5" w:themeShade="BF"/>
        </w:rPr>
        <w:t>EITI</w:t>
      </w:r>
      <w:r w:rsidRPr="00467146">
        <w:rPr>
          <w:rFonts w:ascii="Arial" w:hAnsi="Arial" w:cs="Arial"/>
          <w:color w:val="2E74B5" w:themeColor="accent5" w:themeShade="BF"/>
        </w:rPr>
        <w:t xml:space="preserve"> Standardanforderungen</w:t>
      </w:r>
      <w:proofErr w:type="gramEnd"/>
    </w:p>
    <w:p w14:paraId="4668E62E" w14:textId="0C3C202F" w:rsidR="00962129" w:rsidRDefault="00962129" w:rsidP="00962129">
      <w:pPr>
        <w:spacing w:before="120"/>
        <w:rPr>
          <w:rFonts w:ascii="Arial" w:hAnsi="Arial" w:cs="Arial"/>
        </w:rPr>
      </w:pPr>
    </w:p>
    <w:p w14:paraId="5548A5DB" w14:textId="0FEE54B6" w:rsidR="00962129" w:rsidRPr="00467146" w:rsidRDefault="00962129" w:rsidP="00962129">
      <w:pPr>
        <w:spacing w:before="120"/>
        <w:rPr>
          <w:rFonts w:ascii="Arial" w:hAnsi="Arial" w:cs="Arial"/>
          <w:b/>
          <w:bCs/>
          <w:color w:val="1F4E79" w:themeColor="accent5" w:themeShade="80"/>
        </w:rPr>
      </w:pPr>
      <w:r w:rsidRPr="00467146">
        <w:rPr>
          <w:rFonts w:ascii="Arial" w:hAnsi="Arial" w:cs="Arial"/>
          <w:b/>
          <w:bCs/>
          <w:color w:val="1F4E79" w:themeColor="accent5" w:themeShade="80"/>
        </w:rPr>
        <w:t>Ausgangspunkt der Positionierung</w:t>
      </w:r>
    </w:p>
    <w:p w14:paraId="25B33A3B" w14:textId="77777777" w:rsidR="00962129" w:rsidRDefault="00962129" w:rsidP="00962129">
      <w:pPr>
        <w:spacing w:before="120"/>
        <w:rPr>
          <w:rFonts w:ascii="Arial" w:hAnsi="Arial" w:cs="Arial"/>
        </w:rPr>
      </w:pPr>
      <w:r w:rsidRPr="00962129">
        <w:rPr>
          <w:rFonts w:ascii="Arial" w:hAnsi="Arial" w:cs="Arial"/>
        </w:rPr>
        <w:t xml:space="preserve">Nach der Mail des D-EITI-Sekretariats vom 01.08.2023 wurden die Mitglieder der PW um Stellungnahme zu </w:t>
      </w:r>
      <w:r>
        <w:rPr>
          <w:rFonts w:ascii="Arial" w:hAnsi="Arial" w:cs="Arial"/>
        </w:rPr>
        <w:t>folgen</w:t>
      </w:r>
      <w:r w:rsidRPr="00962129">
        <w:rPr>
          <w:rFonts w:ascii="Arial" w:hAnsi="Arial" w:cs="Arial"/>
        </w:rPr>
        <w:t xml:space="preserve">den </w:t>
      </w:r>
      <w:r>
        <w:rPr>
          <w:rFonts w:ascii="Arial" w:hAnsi="Arial" w:cs="Arial"/>
        </w:rPr>
        <w:t xml:space="preserve">in der Validierung eventuell </w:t>
      </w:r>
      <w:r w:rsidRPr="00962129">
        <w:rPr>
          <w:rFonts w:ascii="Arial" w:hAnsi="Arial" w:cs="Arial"/>
        </w:rPr>
        <w:t>kritischen Punkten gebeten. Schriftliche Stellungnahmen wurden dem PW-Koordinator über die Sommerpause zugestellt.</w:t>
      </w:r>
    </w:p>
    <w:p w14:paraId="5C09175C" w14:textId="77777777" w:rsidR="00962129" w:rsidRDefault="00962129" w:rsidP="00962129">
      <w:pPr>
        <w:spacing w:before="120"/>
        <w:rPr>
          <w:rFonts w:ascii="Arial" w:hAnsi="Arial" w:cs="Arial"/>
        </w:rPr>
      </w:pPr>
      <w:r w:rsidRPr="00962129">
        <w:rPr>
          <w:rFonts w:ascii="Arial" w:hAnsi="Arial" w:cs="Arial"/>
        </w:rPr>
        <w:t xml:space="preserve">Am 01.09. haben sich die Mitglieder der PW </w:t>
      </w:r>
      <w:r>
        <w:rPr>
          <w:rFonts w:ascii="Arial" w:hAnsi="Arial" w:cs="Arial"/>
        </w:rPr>
        <w:t>zusätzlich</w:t>
      </w:r>
      <w:r w:rsidRPr="00962129">
        <w:rPr>
          <w:rFonts w:ascii="Arial" w:hAnsi="Arial" w:cs="Arial"/>
        </w:rPr>
        <w:t xml:space="preserve"> im Rahmen einer Videokonferenz über die kritischen Punkte ausgetauscht und eine konsolidierte Position zu den kritischen Punkten erarbeitet. </w:t>
      </w:r>
    </w:p>
    <w:p w14:paraId="78AA1BCA" w14:textId="4D648050" w:rsidR="00962129" w:rsidRPr="00962129" w:rsidRDefault="00962129" w:rsidP="00962129">
      <w:pPr>
        <w:spacing w:before="120"/>
        <w:rPr>
          <w:rFonts w:ascii="Arial" w:hAnsi="Arial" w:cs="Arial"/>
        </w:rPr>
      </w:pPr>
      <w:r w:rsidRPr="00962129">
        <w:rPr>
          <w:rFonts w:ascii="Arial" w:hAnsi="Arial" w:cs="Arial"/>
        </w:rPr>
        <w:t xml:space="preserve">Diese Position wurde auf dem D-EITI-Treffen am 06.09.2023 </w:t>
      </w:r>
      <w:r>
        <w:rPr>
          <w:rFonts w:ascii="Arial" w:hAnsi="Arial" w:cs="Arial"/>
        </w:rPr>
        <w:t>der MSG</w:t>
      </w:r>
      <w:r w:rsidRPr="00962129">
        <w:rPr>
          <w:rFonts w:ascii="Arial" w:hAnsi="Arial" w:cs="Arial"/>
        </w:rPr>
        <w:t xml:space="preserve"> dargelegt.</w:t>
      </w:r>
    </w:p>
    <w:p w14:paraId="79AB727A" w14:textId="5AB4FCFC" w:rsidR="00962129" w:rsidRPr="00962129" w:rsidRDefault="00962129" w:rsidP="00962129">
      <w:pPr>
        <w:spacing w:before="120"/>
        <w:rPr>
          <w:rFonts w:ascii="Arial" w:hAnsi="Arial" w:cs="Arial"/>
        </w:rPr>
      </w:pPr>
    </w:p>
    <w:p w14:paraId="41535A43" w14:textId="77777777" w:rsidR="00962129" w:rsidRPr="00962129" w:rsidRDefault="00962129" w:rsidP="00962129">
      <w:pPr>
        <w:spacing w:before="120"/>
        <w:rPr>
          <w:rFonts w:ascii="Arial" w:hAnsi="Arial" w:cs="Arial"/>
          <w:b/>
          <w:bCs/>
          <w:color w:val="1F4E79" w:themeColor="accent5" w:themeShade="80"/>
        </w:rPr>
      </w:pPr>
      <w:r w:rsidRPr="00962129">
        <w:rPr>
          <w:rFonts w:ascii="Arial" w:hAnsi="Arial" w:cs="Arial"/>
          <w:b/>
          <w:bCs/>
          <w:color w:val="1F4E79" w:themeColor="accent5" w:themeShade="80"/>
        </w:rPr>
        <w:t xml:space="preserve">1. Informationen zum </w:t>
      </w:r>
      <w:proofErr w:type="gramStart"/>
      <w:r w:rsidRPr="00962129">
        <w:rPr>
          <w:rFonts w:ascii="Arial" w:hAnsi="Arial" w:cs="Arial"/>
          <w:b/>
          <w:bCs/>
          <w:color w:val="1F4E79" w:themeColor="accent5" w:themeShade="80"/>
        </w:rPr>
        <w:t>Wirtschaftlich</w:t>
      </w:r>
      <w:proofErr w:type="gramEnd"/>
      <w:r w:rsidRPr="00962129">
        <w:rPr>
          <w:rFonts w:ascii="Arial" w:hAnsi="Arial" w:cs="Arial"/>
          <w:b/>
          <w:bCs/>
          <w:color w:val="1F4E79" w:themeColor="accent5" w:themeShade="80"/>
        </w:rPr>
        <w:t xml:space="preserve"> Berechtigten – EITI Standardanforderung 2.5</w:t>
      </w:r>
    </w:p>
    <w:p w14:paraId="52487292" w14:textId="150EE0E7" w:rsidR="00962129" w:rsidRPr="00962129" w:rsidRDefault="00962129" w:rsidP="00962129">
      <w:pPr>
        <w:spacing w:before="240"/>
        <w:rPr>
          <w:rFonts w:ascii="Arial" w:hAnsi="Arial" w:cs="Arial"/>
        </w:rPr>
      </w:pPr>
      <w:r w:rsidRPr="00962129">
        <w:rPr>
          <w:rFonts w:ascii="Arial" w:hAnsi="Arial" w:cs="Arial"/>
          <w:b/>
          <w:bCs/>
          <w:u w:val="single"/>
        </w:rPr>
        <w:t>D-EITI-Sekretariat:</w:t>
      </w:r>
      <w:r w:rsidRPr="00962129">
        <w:rPr>
          <w:rFonts w:ascii="Arial" w:hAnsi="Arial" w:cs="Arial"/>
        </w:rPr>
        <w:t xml:space="preserve"> Die Privatwirtschaft wird gebeten, schon jetzt parallel zu prüfen, wie sie zu den Offenlegungsmöglichkeiten steht. Insbesondere stellt sich die Frage, ob die an D-EITI teilnehmenden Unternehmen in der Lage wären, unter Einhaltung der geltenden rechtlichen Vorgaben (</w:t>
      </w:r>
      <w:proofErr w:type="spellStart"/>
      <w:r w:rsidRPr="00962129">
        <w:rPr>
          <w:rFonts w:ascii="Arial" w:hAnsi="Arial" w:cs="Arial"/>
        </w:rPr>
        <w:t>bsp.</w:t>
      </w:r>
      <w:proofErr w:type="spellEnd"/>
      <w:r w:rsidRPr="00962129">
        <w:rPr>
          <w:rFonts w:ascii="Arial" w:hAnsi="Arial" w:cs="Arial"/>
        </w:rPr>
        <w:t xml:space="preserve"> Datenschutzgrundverordnung) die nach dem Standard geforderten Angaben zu den Wirtschaftlich Berechtigten und den sogenannten </w:t>
      </w:r>
      <w:proofErr w:type="spellStart"/>
      <w:r w:rsidRPr="00962129">
        <w:rPr>
          <w:rFonts w:ascii="Arial" w:hAnsi="Arial" w:cs="Arial"/>
        </w:rPr>
        <w:t>politically</w:t>
      </w:r>
      <w:proofErr w:type="spellEnd"/>
      <w:r w:rsidRPr="00962129">
        <w:rPr>
          <w:rFonts w:ascii="Arial" w:hAnsi="Arial" w:cs="Arial"/>
        </w:rPr>
        <w:t xml:space="preserve"> </w:t>
      </w:r>
      <w:proofErr w:type="spellStart"/>
      <w:r w:rsidRPr="00962129">
        <w:rPr>
          <w:rFonts w:ascii="Arial" w:hAnsi="Arial" w:cs="Arial"/>
        </w:rPr>
        <w:t>exposed</w:t>
      </w:r>
      <w:proofErr w:type="spellEnd"/>
      <w:r w:rsidRPr="00962129">
        <w:rPr>
          <w:rFonts w:ascii="Arial" w:hAnsi="Arial" w:cs="Arial"/>
        </w:rPr>
        <w:t xml:space="preserve"> </w:t>
      </w:r>
      <w:proofErr w:type="spellStart"/>
      <w:r w:rsidRPr="00962129">
        <w:rPr>
          <w:rFonts w:ascii="Arial" w:hAnsi="Arial" w:cs="Arial"/>
        </w:rPr>
        <w:t>persons</w:t>
      </w:r>
      <w:proofErr w:type="spellEnd"/>
      <w:r w:rsidRPr="00962129">
        <w:rPr>
          <w:rFonts w:ascii="Arial" w:hAnsi="Arial" w:cs="Arial"/>
        </w:rPr>
        <w:t xml:space="preserve"> (PEPs) zu machen? Ist beispielsweise eine Mitteilung möglich, ob an den D-EITI teilnehmenden Unternehmen </w:t>
      </w:r>
      <w:proofErr w:type="spellStart"/>
      <w:r w:rsidRPr="00962129">
        <w:rPr>
          <w:rFonts w:ascii="Arial" w:hAnsi="Arial" w:cs="Arial"/>
        </w:rPr>
        <w:t>politically</w:t>
      </w:r>
      <w:proofErr w:type="spellEnd"/>
      <w:r w:rsidRPr="00962129">
        <w:rPr>
          <w:rFonts w:ascii="Arial" w:hAnsi="Arial" w:cs="Arial"/>
        </w:rPr>
        <w:t xml:space="preserve"> </w:t>
      </w:r>
      <w:proofErr w:type="spellStart"/>
      <w:r w:rsidRPr="00962129">
        <w:rPr>
          <w:rFonts w:ascii="Arial" w:hAnsi="Arial" w:cs="Arial"/>
        </w:rPr>
        <w:t>exposed</w:t>
      </w:r>
      <w:proofErr w:type="spellEnd"/>
      <w:r w:rsidRPr="00962129">
        <w:rPr>
          <w:rFonts w:ascii="Arial" w:hAnsi="Arial" w:cs="Arial"/>
        </w:rPr>
        <w:t xml:space="preserve"> </w:t>
      </w:r>
      <w:proofErr w:type="spellStart"/>
      <w:r w:rsidRPr="00962129">
        <w:rPr>
          <w:rFonts w:ascii="Arial" w:hAnsi="Arial" w:cs="Arial"/>
        </w:rPr>
        <w:t>persons</w:t>
      </w:r>
      <w:proofErr w:type="spellEnd"/>
      <w:r w:rsidRPr="00962129">
        <w:rPr>
          <w:rFonts w:ascii="Arial" w:hAnsi="Arial" w:cs="Arial"/>
        </w:rPr>
        <w:t xml:space="preserve"> beteiligt sind? Wäre im Hinblick auf </w:t>
      </w:r>
      <w:proofErr w:type="gramStart"/>
      <w:r w:rsidRPr="00962129">
        <w:rPr>
          <w:rFonts w:ascii="Arial" w:hAnsi="Arial" w:cs="Arial"/>
        </w:rPr>
        <w:t>Wirtschaftlich</w:t>
      </w:r>
      <w:proofErr w:type="gramEnd"/>
      <w:r w:rsidRPr="00962129">
        <w:rPr>
          <w:rFonts w:ascii="Arial" w:hAnsi="Arial" w:cs="Arial"/>
        </w:rPr>
        <w:t xml:space="preserve"> Berechtigte als natürliche Personen eine Veröffentlichung von Gesellschafterlisten (ggf. der Tochterunternehmen) möglich?</w:t>
      </w:r>
    </w:p>
    <w:p w14:paraId="6BFE47A1" w14:textId="77777777" w:rsidR="00962129" w:rsidRDefault="00962129" w:rsidP="00962129">
      <w:pPr>
        <w:spacing w:before="120"/>
        <w:rPr>
          <w:rFonts w:ascii="Arial" w:hAnsi="Arial" w:cs="Arial"/>
          <w:b/>
          <w:bCs/>
          <w:u w:val="single"/>
        </w:rPr>
      </w:pPr>
    </w:p>
    <w:p w14:paraId="463C7D56" w14:textId="6485619A" w:rsidR="00962129" w:rsidRPr="00962129" w:rsidRDefault="00962129" w:rsidP="00962129">
      <w:pPr>
        <w:spacing w:before="120"/>
        <w:rPr>
          <w:rFonts w:ascii="Arial" w:hAnsi="Arial" w:cs="Arial"/>
        </w:rPr>
      </w:pPr>
      <w:r w:rsidRPr="00962129">
        <w:rPr>
          <w:rFonts w:ascii="Arial" w:hAnsi="Arial" w:cs="Arial"/>
          <w:b/>
          <w:bCs/>
          <w:u w:val="single"/>
        </w:rPr>
        <w:t>Privatwirtschaft:</w:t>
      </w:r>
      <w:r w:rsidRPr="00962129">
        <w:rPr>
          <w:rFonts w:ascii="Arial" w:hAnsi="Arial" w:cs="Arial"/>
        </w:rPr>
        <w:t xml:space="preserve"> Die Privatwirtschaft sieht keine Möglichkeit mehr Informationen zur Verfügung zu stellen als jene, die eh schon im D-EITI-Rahmen geliefert werden.</w:t>
      </w:r>
    </w:p>
    <w:p w14:paraId="583E6E48" w14:textId="7AD5F8B0" w:rsidR="00962129" w:rsidRPr="00962129" w:rsidRDefault="00962129" w:rsidP="00962129">
      <w:pPr>
        <w:pStyle w:val="Listenabsatz"/>
        <w:numPr>
          <w:ilvl w:val="0"/>
          <w:numId w:val="11"/>
        </w:numPr>
        <w:spacing w:before="120"/>
        <w:contextualSpacing w:val="0"/>
        <w:rPr>
          <w:rFonts w:ascii="Arial" w:hAnsi="Arial" w:cs="Arial"/>
        </w:rPr>
      </w:pPr>
      <w:r w:rsidRPr="00962129">
        <w:rPr>
          <w:rFonts w:ascii="Arial" w:hAnsi="Arial" w:cs="Arial"/>
        </w:rPr>
        <w:t xml:space="preserve">Dafür gibt es vor allem juristische Gründe. Für die Offenlegung der Wirtschaftlichen Berechtigten sowie der PEPs wird eine datenschutzrechtliche Rechtsgrundlage benötigt. Sofern dabei nicht mit der Einwilligung der Betroffenen gearbeitet wird, sind grundsätzlich Einzelfallabwägungen für jeden Betroffenen notwendig. Allein durch den Abwägungsprozess entsteht ein erhebliches Risiko im Hinblick auf datenschutzrechtliche Bußgelder und Schadensersatzforderungen. </w:t>
      </w:r>
    </w:p>
    <w:p w14:paraId="6672261A" w14:textId="408747F8" w:rsidR="00962129" w:rsidRPr="00962129" w:rsidRDefault="00962129" w:rsidP="00962129">
      <w:pPr>
        <w:pStyle w:val="Listenabsatz"/>
        <w:numPr>
          <w:ilvl w:val="0"/>
          <w:numId w:val="11"/>
        </w:numPr>
        <w:spacing w:before="120"/>
        <w:contextualSpacing w:val="0"/>
        <w:rPr>
          <w:rFonts w:ascii="Arial" w:hAnsi="Arial" w:cs="Arial"/>
        </w:rPr>
      </w:pPr>
      <w:r w:rsidRPr="00962129">
        <w:rPr>
          <w:rFonts w:ascii="Arial" w:hAnsi="Arial" w:cs="Arial"/>
        </w:rPr>
        <w:t>Auch wäre dieser Akt der Informationsbeschaffung sehr aufwendig für den UV, da er zuerst die Ansprechpartner/innen in den Unternehmen identifizieren und dann den Kontakt mit ihnen aufnehmen müsste. Auch für die Unternehmen wäre dieser Prozess mit weiterem Aufwand verbunden. Die Unternehmen müssten prüfen, ob die Infos bereitgestellt werden dürfen. Dafür muss Rücksprache ggf. mit mehreren Vorgesetzten gehalten werden. Wenn man das Ganze dann noch für die Tochterunternehmen machen möchte, wird der Weg noch deutlich komplizierter. Vor dem Hintergrund der Tatsache, dass Unternehmen bereits heute einen hohen Aufwand betreiben, um D-EITI Informationen zur Verfügung zu stellen, erscheinen weitere Reporting-Pflichten nicht zielführend.</w:t>
      </w:r>
    </w:p>
    <w:p w14:paraId="442C98AC" w14:textId="77777777" w:rsidR="00962129" w:rsidRPr="00962129" w:rsidRDefault="00962129" w:rsidP="00962129">
      <w:pPr>
        <w:spacing w:before="120"/>
        <w:rPr>
          <w:rFonts w:ascii="Arial" w:hAnsi="Arial" w:cs="Arial"/>
        </w:rPr>
      </w:pPr>
    </w:p>
    <w:p w14:paraId="56F0FB05" w14:textId="7AED45AF" w:rsidR="00962129" w:rsidRDefault="00962129" w:rsidP="00962129">
      <w:pPr>
        <w:spacing w:before="120"/>
        <w:rPr>
          <w:rFonts w:ascii="Arial" w:hAnsi="Arial" w:cs="Arial"/>
          <w:b/>
          <w:bCs/>
        </w:rPr>
      </w:pPr>
    </w:p>
    <w:p w14:paraId="7B973AE3" w14:textId="77777777" w:rsidR="00467146" w:rsidRDefault="00467146" w:rsidP="00962129">
      <w:pPr>
        <w:spacing w:before="120"/>
        <w:rPr>
          <w:rFonts w:ascii="Arial" w:hAnsi="Arial" w:cs="Arial"/>
          <w:b/>
          <w:bCs/>
        </w:rPr>
      </w:pPr>
    </w:p>
    <w:p w14:paraId="7DE9E788" w14:textId="26D866EB" w:rsidR="00962129" w:rsidRPr="00962129" w:rsidRDefault="00962129" w:rsidP="00962129">
      <w:pPr>
        <w:spacing w:before="120"/>
        <w:rPr>
          <w:rFonts w:ascii="Arial" w:hAnsi="Arial" w:cs="Arial"/>
          <w:b/>
          <w:bCs/>
          <w:color w:val="1F4E79" w:themeColor="accent5" w:themeShade="80"/>
        </w:rPr>
      </w:pPr>
      <w:r w:rsidRPr="00962129">
        <w:rPr>
          <w:rFonts w:ascii="Arial" w:hAnsi="Arial" w:cs="Arial"/>
          <w:b/>
          <w:bCs/>
          <w:color w:val="1F4E79" w:themeColor="accent5" w:themeShade="80"/>
        </w:rPr>
        <w:lastRenderedPageBreak/>
        <w:t xml:space="preserve">2. Disaggregieren von Produktionsdaten auf Bundeslandebene – </w:t>
      </w:r>
      <w:proofErr w:type="gramStart"/>
      <w:r w:rsidRPr="00962129">
        <w:rPr>
          <w:rFonts w:ascii="Arial" w:hAnsi="Arial" w:cs="Arial"/>
          <w:b/>
          <w:bCs/>
          <w:color w:val="1F4E79" w:themeColor="accent5" w:themeShade="80"/>
        </w:rPr>
        <w:t>EITI Standardanforderung</w:t>
      </w:r>
      <w:proofErr w:type="gramEnd"/>
      <w:r w:rsidRPr="00962129">
        <w:rPr>
          <w:rFonts w:ascii="Arial" w:hAnsi="Arial" w:cs="Arial"/>
          <w:b/>
          <w:bCs/>
          <w:color w:val="1F4E79" w:themeColor="accent5" w:themeShade="80"/>
        </w:rPr>
        <w:t xml:space="preserve"> 3.2</w:t>
      </w:r>
    </w:p>
    <w:p w14:paraId="4DE7A4EC" w14:textId="66825142" w:rsidR="00962129" w:rsidRPr="00962129" w:rsidRDefault="00962129" w:rsidP="00962129">
      <w:pPr>
        <w:spacing w:before="240"/>
        <w:rPr>
          <w:rFonts w:ascii="Arial" w:hAnsi="Arial" w:cs="Arial"/>
        </w:rPr>
      </w:pPr>
      <w:r w:rsidRPr="00962129">
        <w:rPr>
          <w:rFonts w:ascii="Arial" w:hAnsi="Arial" w:cs="Arial"/>
          <w:b/>
          <w:bCs/>
          <w:u w:val="single"/>
        </w:rPr>
        <w:t>D-EITI-Sekretariat:</w:t>
      </w:r>
      <w:r w:rsidRPr="00962129">
        <w:rPr>
          <w:rFonts w:ascii="Arial" w:hAnsi="Arial" w:cs="Arial"/>
        </w:rPr>
        <w:t xml:space="preserve"> Die Privatwirtschaft wird hier ebenfalls gebeten, zu prüfen, ob Offenlegungsmöglichkeiten über die Unternehmen bestehen.</w:t>
      </w:r>
    </w:p>
    <w:p w14:paraId="4AAEC641" w14:textId="77777777" w:rsidR="00962129" w:rsidRPr="00962129" w:rsidRDefault="00962129" w:rsidP="00962129">
      <w:pPr>
        <w:spacing w:before="120"/>
        <w:rPr>
          <w:rFonts w:ascii="Arial" w:hAnsi="Arial" w:cs="Arial"/>
        </w:rPr>
      </w:pPr>
    </w:p>
    <w:p w14:paraId="2DF88142" w14:textId="52EC9BD7" w:rsidR="00962129" w:rsidRPr="00962129" w:rsidRDefault="00962129" w:rsidP="00962129">
      <w:pPr>
        <w:spacing w:before="120"/>
        <w:rPr>
          <w:rFonts w:ascii="Arial" w:hAnsi="Arial" w:cs="Arial"/>
        </w:rPr>
      </w:pPr>
      <w:r w:rsidRPr="00962129">
        <w:rPr>
          <w:rFonts w:ascii="Arial" w:hAnsi="Arial" w:cs="Arial"/>
          <w:b/>
          <w:bCs/>
          <w:u w:val="single"/>
        </w:rPr>
        <w:t>Privatwirtschaft:</w:t>
      </w:r>
      <w:r w:rsidRPr="00962129">
        <w:rPr>
          <w:rFonts w:ascii="Arial" w:hAnsi="Arial" w:cs="Arial"/>
        </w:rPr>
        <w:t xml:space="preserve"> Die Privatwirtschaft sieht keine Möglichkeit für die Offenlegung von weitergehenden Informationen.</w:t>
      </w:r>
    </w:p>
    <w:p w14:paraId="1EA0CF14" w14:textId="1C5EBDAA" w:rsidR="00962129" w:rsidRPr="00962129" w:rsidRDefault="00962129" w:rsidP="00962129">
      <w:pPr>
        <w:pStyle w:val="Listenabsatz"/>
        <w:numPr>
          <w:ilvl w:val="0"/>
          <w:numId w:val="12"/>
        </w:numPr>
        <w:spacing w:before="120"/>
        <w:rPr>
          <w:rFonts w:ascii="Arial" w:hAnsi="Arial" w:cs="Arial"/>
        </w:rPr>
      </w:pPr>
      <w:r w:rsidRPr="00962129">
        <w:rPr>
          <w:rFonts w:ascii="Arial" w:hAnsi="Arial" w:cs="Arial"/>
        </w:rPr>
        <w:t xml:space="preserve">Dafür gibt es vor allem wettbewerbsrechtliche Gründe. Denn hierbei geht es um die Offenlegung von sensiblen Unternehmensdaten. Würden diese ausgewiesen, wären Rückschlüsse auf einzelne Unternehmen möglich ist. </w:t>
      </w:r>
    </w:p>
    <w:p w14:paraId="7B3BD1BC" w14:textId="5E3725D6" w:rsidR="00962129" w:rsidRPr="00962129" w:rsidRDefault="00962129" w:rsidP="00962129">
      <w:pPr>
        <w:pStyle w:val="Listenabsatz"/>
        <w:numPr>
          <w:ilvl w:val="0"/>
          <w:numId w:val="12"/>
        </w:numPr>
        <w:spacing w:before="120"/>
        <w:rPr>
          <w:rFonts w:ascii="Arial" w:hAnsi="Arial" w:cs="Arial"/>
        </w:rPr>
      </w:pPr>
      <w:r w:rsidRPr="00962129">
        <w:rPr>
          <w:rFonts w:ascii="Arial" w:hAnsi="Arial" w:cs="Arial"/>
        </w:rPr>
        <w:t xml:space="preserve">Anders sieht es für den Öl- und Gassektor aus: Für Deutschland veröffentlicht der BVEG schon jetzt detaillierte Daten über die Erdgas- und Erdölförderung sowohl nach Bundesländern als auch noch weiter heruntergebrochen auf einzelne Felder (siehe </w:t>
      </w:r>
      <w:hyperlink r:id="rId7" w:history="1">
        <w:r w:rsidRPr="00962129">
          <w:rPr>
            <w:rStyle w:val="Hyperlink"/>
            <w:rFonts w:ascii="Arial" w:hAnsi="Arial" w:cs="Arial"/>
          </w:rPr>
          <w:t>https://jahresbericht.bveg.de/erdgasfoerderung/</w:t>
        </w:r>
      </w:hyperlink>
      <w:r w:rsidRPr="00962129">
        <w:rPr>
          <w:rFonts w:ascii="Arial" w:hAnsi="Arial" w:cs="Arial"/>
        </w:rPr>
        <w:t xml:space="preserve"> bzw. </w:t>
      </w:r>
      <w:hyperlink r:id="rId8" w:history="1">
        <w:r w:rsidRPr="00962129">
          <w:rPr>
            <w:rStyle w:val="Hyperlink"/>
            <w:rFonts w:ascii="Arial" w:hAnsi="Arial" w:cs="Arial"/>
          </w:rPr>
          <w:t>https://jahresbericht.bveg.de/erdoelfoerderung/</w:t>
        </w:r>
      </w:hyperlink>
      <w:r w:rsidRPr="00962129">
        <w:rPr>
          <w:rFonts w:ascii="Arial" w:hAnsi="Arial" w:cs="Arial"/>
        </w:rPr>
        <w:t>).</w:t>
      </w:r>
    </w:p>
    <w:p w14:paraId="40EA0EA3" w14:textId="77777777" w:rsidR="00962129" w:rsidRPr="00962129" w:rsidRDefault="00962129" w:rsidP="00962129">
      <w:pPr>
        <w:spacing w:before="120"/>
        <w:rPr>
          <w:rFonts w:ascii="Arial" w:hAnsi="Arial" w:cs="Arial"/>
        </w:rPr>
      </w:pPr>
    </w:p>
    <w:p w14:paraId="2B9327CE" w14:textId="77777777" w:rsidR="000345DC" w:rsidRPr="00962129" w:rsidRDefault="000345DC" w:rsidP="00962129">
      <w:pPr>
        <w:spacing w:before="120"/>
        <w:rPr>
          <w:rFonts w:ascii="Arial" w:hAnsi="Arial" w:cs="Arial"/>
        </w:rPr>
      </w:pPr>
    </w:p>
    <w:sectPr w:rsidR="000345DC" w:rsidRPr="00962129" w:rsidSect="00E0714A">
      <w:headerReference w:type="default" r:id="rId9"/>
      <w:footerReference w:type="default" r:id="rId10"/>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B144" w14:textId="77777777" w:rsidR="00962129" w:rsidRDefault="00962129" w:rsidP="00E0714A">
      <w:r>
        <w:separator/>
      </w:r>
    </w:p>
  </w:endnote>
  <w:endnote w:type="continuationSeparator" w:id="0">
    <w:p w14:paraId="140C8890" w14:textId="77777777" w:rsidR="00962129" w:rsidRDefault="00962129"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40BB0303" w14:textId="77777777" w:rsidTr="000D6C89">
      <w:tc>
        <w:tcPr>
          <w:tcW w:w="1329" w:type="pct"/>
        </w:tcPr>
        <w:p w14:paraId="4F2EC672" w14:textId="28964962" w:rsidR="00703906" w:rsidRDefault="00703906" w:rsidP="00703906">
          <w:pPr>
            <w:rPr>
              <w:sz w:val="18"/>
              <w:szCs w:val="18"/>
            </w:rPr>
          </w:pPr>
          <w:r>
            <w:rPr>
              <w:sz w:val="18"/>
              <w:szCs w:val="18"/>
            </w:rPr>
            <w:t xml:space="preserve">Stand: </w:t>
          </w:r>
          <w:r w:rsidR="00962129">
            <w:rPr>
              <w:sz w:val="18"/>
              <w:szCs w:val="18"/>
            </w:rPr>
            <w:t>07.09.</w:t>
          </w:r>
          <w:r w:rsidR="00467146">
            <w:rPr>
              <w:sz w:val="18"/>
              <w:szCs w:val="18"/>
            </w:rPr>
            <w:t>23</w:t>
          </w:r>
        </w:p>
      </w:tc>
      <w:tc>
        <w:tcPr>
          <w:tcW w:w="2266" w:type="pct"/>
        </w:tcPr>
        <w:p w14:paraId="507FEFAF" w14:textId="2889FB8F" w:rsidR="00703906" w:rsidRDefault="00703906" w:rsidP="00703906">
          <w:pPr>
            <w:jc w:val="center"/>
            <w:rPr>
              <w:sz w:val="18"/>
              <w:szCs w:val="18"/>
            </w:rPr>
          </w:pPr>
        </w:p>
      </w:tc>
      <w:tc>
        <w:tcPr>
          <w:tcW w:w="1405" w:type="pct"/>
        </w:tcPr>
        <w:p w14:paraId="571AF878"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616F67C0"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DE0E" w14:textId="77777777" w:rsidR="00962129" w:rsidRDefault="00962129" w:rsidP="00E0714A">
      <w:r>
        <w:separator/>
      </w:r>
    </w:p>
  </w:footnote>
  <w:footnote w:type="continuationSeparator" w:id="0">
    <w:p w14:paraId="434A02E8" w14:textId="77777777" w:rsidR="00962129" w:rsidRDefault="00962129"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73154EC9" w14:textId="77777777" w:rsidTr="000D6C89">
      <w:tc>
        <w:tcPr>
          <w:tcW w:w="3497" w:type="pct"/>
        </w:tcPr>
        <w:p w14:paraId="02C0F18F" w14:textId="77777777" w:rsidR="00703906" w:rsidRPr="00703906" w:rsidRDefault="00703906" w:rsidP="00703906">
          <w:pPr>
            <w:tabs>
              <w:tab w:val="right" w:pos="9356"/>
            </w:tabs>
            <w:spacing w:before="660"/>
            <w:rPr>
              <w:rFonts w:eastAsia="Times New Roman" w:cs="Times New Roman"/>
              <w:lang w:eastAsia="de-DE"/>
            </w:rPr>
          </w:pPr>
        </w:p>
      </w:tc>
      <w:tc>
        <w:tcPr>
          <w:tcW w:w="1503" w:type="pct"/>
        </w:tcPr>
        <w:p w14:paraId="3EFFB6D1" w14:textId="5352A6C6" w:rsidR="00703906" w:rsidRPr="00703906" w:rsidRDefault="00962129" w:rsidP="00703906">
          <w:pPr>
            <w:tabs>
              <w:tab w:val="right" w:pos="9356"/>
            </w:tabs>
            <w:ind w:right="-227"/>
            <w:jc w:val="right"/>
            <w:rPr>
              <w:rFonts w:eastAsia="Times New Roman" w:cs="Times New Roman"/>
              <w:sz w:val="20"/>
              <w:szCs w:val="20"/>
              <w:lang w:eastAsia="de-DE"/>
            </w:rPr>
          </w:pPr>
          <w:r>
            <w:rPr>
              <w:noProof/>
            </w:rPr>
            <w:drawing>
              <wp:inline distT="0" distB="0" distL="0" distR="0" wp14:anchorId="24D4E3F5" wp14:editId="1639E24F">
                <wp:extent cx="1477645" cy="504825"/>
                <wp:effectExtent l="0" t="0" r="825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504825"/>
                        </a:xfrm>
                        <a:prstGeom prst="rect">
                          <a:avLst/>
                        </a:prstGeom>
                        <a:noFill/>
                        <a:ln>
                          <a:noFill/>
                        </a:ln>
                      </pic:spPr>
                    </pic:pic>
                  </a:graphicData>
                </a:graphic>
              </wp:inline>
            </w:drawing>
          </w:r>
        </w:p>
      </w:tc>
    </w:tr>
  </w:tbl>
  <w:p w14:paraId="137C6437"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7B0EA9"/>
    <w:multiLevelType w:val="hybridMultilevel"/>
    <w:tmpl w:val="242C09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6495B28"/>
    <w:multiLevelType w:val="hybridMultilevel"/>
    <w:tmpl w:val="A99C54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4059431">
    <w:abstractNumId w:val="9"/>
  </w:num>
  <w:num w:numId="2" w16cid:durableId="84769825">
    <w:abstractNumId w:val="7"/>
  </w:num>
  <w:num w:numId="3" w16cid:durableId="1474444022">
    <w:abstractNumId w:val="6"/>
  </w:num>
  <w:num w:numId="4" w16cid:durableId="43993744">
    <w:abstractNumId w:val="5"/>
  </w:num>
  <w:num w:numId="5" w16cid:durableId="958874228">
    <w:abstractNumId w:val="4"/>
  </w:num>
  <w:num w:numId="6" w16cid:durableId="518815575">
    <w:abstractNumId w:val="8"/>
  </w:num>
  <w:num w:numId="7" w16cid:durableId="608001981">
    <w:abstractNumId w:val="3"/>
  </w:num>
  <w:num w:numId="8" w16cid:durableId="1848788293">
    <w:abstractNumId w:val="2"/>
  </w:num>
  <w:num w:numId="9" w16cid:durableId="1364793295">
    <w:abstractNumId w:val="1"/>
  </w:num>
  <w:num w:numId="10" w16cid:durableId="168377271">
    <w:abstractNumId w:val="0"/>
  </w:num>
  <w:num w:numId="11" w16cid:durableId="383412226">
    <w:abstractNumId w:val="10"/>
  </w:num>
  <w:num w:numId="12" w16cid:durableId="890652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29"/>
    <w:rsid w:val="000345DC"/>
    <w:rsid w:val="003B306D"/>
    <w:rsid w:val="003E29DA"/>
    <w:rsid w:val="003E5CAF"/>
    <w:rsid w:val="00467146"/>
    <w:rsid w:val="00676462"/>
    <w:rsid w:val="00681AE3"/>
    <w:rsid w:val="00703906"/>
    <w:rsid w:val="00777255"/>
    <w:rsid w:val="0080748B"/>
    <w:rsid w:val="008237D6"/>
    <w:rsid w:val="00823943"/>
    <w:rsid w:val="00962129"/>
    <w:rsid w:val="00CB282C"/>
    <w:rsid w:val="00E0714A"/>
    <w:rsid w:val="00F30AA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321B"/>
  <w15:chartTrackingRefBased/>
  <w15:docId w15:val="{48EB9F66-50CF-4C8D-AA7D-75BDA610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2129"/>
    <w:pPr>
      <w:spacing w:after="0" w:line="240" w:lineRule="auto"/>
    </w:pPr>
    <w:rPr>
      <w:rFonts w:ascii="Calibri" w:hAnsi="Calibri" w:cs="Calibri"/>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ascii="Arial" w:eastAsiaTheme="majorEastAsia" w:hAnsi="Arial"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ascii="Arial" w:eastAsiaTheme="majorEastAsia" w:hAnsi="Arial"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ascii="Arial" w:eastAsiaTheme="majorEastAsia" w:hAnsi="Arial"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ascii="Arial" w:eastAsiaTheme="majorEastAsia" w:hAnsi="Arial"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rPr>
      <w:rFonts w:ascii="Arial" w:hAnsi="Arial" w:cstheme="minorBidi"/>
    </w:rPr>
  </w:style>
  <w:style w:type="paragraph" w:customStyle="1" w:styleId="2Einrckung">
    <w:name w:val="2. Einrückung"/>
    <w:basedOn w:val="Standard"/>
    <w:uiPriority w:val="2"/>
    <w:qFormat/>
    <w:rsid w:val="00676462"/>
    <w:pPr>
      <w:tabs>
        <w:tab w:val="left" w:pos="567"/>
        <w:tab w:val="left" w:pos="1134"/>
      </w:tabs>
      <w:ind w:left="1134" w:hanging="567"/>
    </w:pPr>
    <w:rPr>
      <w:rFonts w:ascii="Arial" w:hAnsi="Arial" w:cstheme="minorBidi"/>
    </w:rPr>
  </w:style>
  <w:style w:type="paragraph" w:customStyle="1" w:styleId="3Einrckung">
    <w:name w:val="3. Einrückung"/>
    <w:basedOn w:val="Standard"/>
    <w:uiPriority w:val="2"/>
    <w:qFormat/>
    <w:rsid w:val="00676462"/>
    <w:pPr>
      <w:tabs>
        <w:tab w:val="left" w:pos="567"/>
        <w:tab w:val="left" w:pos="1134"/>
        <w:tab w:val="left" w:pos="1701"/>
      </w:tabs>
      <w:ind w:left="1701" w:hanging="567"/>
    </w:pPr>
    <w:rPr>
      <w:rFonts w:ascii="Arial" w:hAnsi="Arial" w:cstheme="minorBidi"/>
    </w:rPr>
  </w:style>
  <w:style w:type="paragraph" w:styleId="Fuzeile">
    <w:name w:val="footer"/>
    <w:basedOn w:val="Standard"/>
    <w:link w:val="FuzeileZchn"/>
    <w:unhideWhenUsed/>
    <w:rsid w:val="00676462"/>
    <w:pPr>
      <w:tabs>
        <w:tab w:val="center" w:pos="4536"/>
        <w:tab w:val="right" w:pos="9072"/>
      </w:tabs>
    </w:pPr>
    <w:rPr>
      <w:rFonts w:ascii="Arial" w:hAnsi="Arial" w:cstheme="minorBidi"/>
    </w:r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4"/>
    <w:unhideWhenUsed/>
    <w:rsid w:val="00676462"/>
    <w:rPr>
      <w:rFonts w:ascii="Arial" w:hAnsi="Arial" w:cstheme="minorBidi"/>
    </w:rPr>
  </w:style>
  <w:style w:type="paragraph" w:styleId="Kopfzeile">
    <w:name w:val="header"/>
    <w:basedOn w:val="Standard"/>
    <w:link w:val="KopfzeileZchn"/>
    <w:unhideWhenUsed/>
    <w:rsid w:val="00676462"/>
    <w:pPr>
      <w:tabs>
        <w:tab w:val="center" w:pos="4536"/>
        <w:tab w:val="right" w:pos="9072"/>
      </w:tabs>
    </w:pPr>
    <w:rPr>
      <w:rFonts w:ascii="Arial" w:hAnsi="Arial" w:cstheme="minorBidi"/>
    </w:r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character" w:styleId="Hyperlink">
    <w:name w:val="Hyperlink"/>
    <w:basedOn w:val="Absatz-Standardschriftart"/>
    <w:uiPriority w:val="99"/>
    <w:semiHidden/>
    <w:unhideWhenUsed/>
    <w:rsid w:val="00962129"/>
    <w:rPr>
      <w:color w:val="0563C1"/>
      <w:u w:val="single"/>
    </w:rPr>
  </w:style>
  <w:style w:type="paragraph" w:styleId="Listenabsatz">
    <w:name w:val="List Paragraph"/>
    <w:basedOn w:val="Standard"/>
    <w:uiPriority w:val="34"/>
    <w:qFormat/>
    <w:rsid w:val="0096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jahresbericht.bveg.de%2Ferdoelfoerderung%2F&amp;data=05%7C01%7Cmareike.goehler-robus%40giz.de%7C5236fa7f2125490a30c008dbaf815da0%7C5bbab28cdef3460488225e707da8dba8%7C0%7C0%7C638296742393649898%7CUnknown%7CTWFpbGZsb3d8eyJWIjoiMC4wLjAwMDAiLCJQIjoiV2luMzIiLCJBTiI6Ik1haWwiLCJXVCI6Mn0%3D%7C3000%7C%7C%7C&amp;sdata=u6hDKV6Ks989bH9WKo46ZdA7yVI009Hq3%2Fc76dCWrtA%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jahresbericht.bveg.de%2Ferdgasfoerderung%2F&amp;data=05%7C01%7Cmareike.goehler-robus%40giz.de%7C5236fa7f2125490a30c008dbaf815da0%7C5bbab28cdef3460488225e707da8dba8%7C0%7C0%7C638296742393649898%7CUnknown%7CTWFpbGZsb3d8eyJWIjoiMC4wLjAwMDAiLCJQIjoiV2luMzIiLCJBTiI6Ik1haWwiLCJXVCI6Mn0%3D%7C3000%7C%7C%7C&amp;sdata=ezrpdBjSWUuXXn6tMDVVQ9lq4T%2F6kxtpLiN9FPSs8NU%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Goehler-Robus, Mareike GIZ</dc:creator>
  <cp:keywords/>
  <dc:description/>
  <cp:lastModifiedBy>Goehler-Robus, Mareike GIZ</cp:lastModifiedBy>
  <cp:revision>1</cp:revision>
  <dcterms:created xsi:type="dcterms:W3CDTF">2023-09-22T08:11:00Z</dcterms:created>
  <dcterms:modified xsi:type="dcterms:W3CDTF">2023-09-22T08:36:00Z</dcterms:modified>
</cp:coreProperties>
</file>