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6FE8DB" w14:textId="77777777" w:rsidR="002E78AB" w:rsidRDefault="007C0DC7" w:rsidP="00FD15AB">
      <w:pPr>
        <w:pStyle w:val="Kopfzeile"/>
        <w:tabs>
          <w:tab w:val="clear" w:pos="4536"/>
          <w:tab w:val="clear" w:pos="9072"/>
        </w:tabs>
        <w:spacing w:after="120" w:line="100" w:lineRule="atLeast"/>
        <w:jc w:val="center"/>
        <w:rPr>
          <w:b/>
          <w:szCs w:val="24"/>
        </w:rPr>
      </w:pPr>
      <w:r>
        <w:rPr>
          <w:noProof/>
          <w:lang w:eastAsia="de-DE"/>
        </w:rPr>
        <w:drawing>
          <wp:anchor distT="0" distB="0" distL="114300" distR="114300" simplePos="0" relativeHeight="251659776" behindDoc="0" locked="0" layoutInCell="1" allowOverlap="1" wp14:anchorId="07CB49F7" wp14:editId="1CE12F65">
            <wp:simplePos x="0" y="0"/>
            <wp:positionH relativeFrom="margin">
              <wp:posOffset>3687659</wp:posOffset>
            </wp:positionH>
            <wp:positionV relativeFrom="paragraph">
              <wp:posOffset>-804904</wp:posOffset>
            </wp:positionV>
            <wp:extent cx="2068808" cy="707366"/>
            <wp:effectExtent l="0" t="0" r="8255" b="0"/>
            <wp:wrapNone/>
            <wp:docPr id="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1076" cy="7115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E78AB">
        <w:rPr>
          <w:b/>
          <w:sz w:val="28"/>
          <w:szCs w:val="28"/>
        </w:rPr>
        <w:t>Geschäftsordnung</w:t>
      </w:r>
    </w:p>
    <w:p w14:paraId="1C4517D1" w14:textId="77777777" w:rsidR="002E78AB" w:rsidRDefault="002E78AB" w:rsidP="00FD15AB">
      <w:pPr>
        <w:pStyle w:val="Kopfzeile"/>
        <w:tabs>
          <w:tab w:val="clear" w:pos="4536"/>
          <w:tab w:val="clear" w:pos="9072"/>
        </w:tabs>
        <w:spacing w:after="120" w:line="100" w:lineRule="atLeast"/>
        <w:jc w:val="center"/>
        <w:rPr>
          <w:b/>
          <w:szCs w:val="24"/>
        </w:rPr>
      </w:pPr>
      <w:r>
        <w:rPr>
          <w:b/>
          <w:szCs w:val="24"/>
        </w:rPr>
        <w:t>der Multi-Stakeholder-Gruppe (MSG)</w:t>
      </w:r>
    </w:p>
    <w:p w14:paraId="21AF62F4" w14:textId="77777777" w:rsidR="002E78AB" w:rsidRDefault="002E78AB" w:rsidP="00FD15AB">
      <w:pPr>
        <w:pStyle w:val="Kopfzeile"/>
        <w:tabs>
          <w:tab w:val="clear" w:pos="4536"/>
          <w:tab w:val="clear" w:pos="9072"/>
        </w:tabs>
        <w:spacing w:after="120" w:line="100" w:lineRule="atLeast"/>
        <w:jc w:val="center"/>
        <w:rPr>
          <w:b/>
          <w:szCs w:val="24"/>
        </w:rPr>
      </w:pPr>
      <w:r>
        <w:rPr>
          <w:b/>
          <w:szCs w:val="24"/>
        </w:rPr>
        <w:t>der „Deutschland – Extractive Industries Transparency Initiative“ (D-EITI)</w:t>
      </w:r>
    </w:p>
    <w:p w14:paraId="6073DCB1" w14:textId="6C54BE9E" w:rsidR="005A61E9" w:rsidRDefault="005A61E9" w:rsidP="005A61E9">
      <w:pPr>
        <w:pStyle w:val="Kopfzeile"/>
        <w:tabs>
          <w:tab w:val="clear" w:pos="4536"/>
          <w:tab w:val="clear" w:pos="9072"/>
        </w:tabs>
        <w:spacing w:after="120" w:line="100" w:lineRule="atLeast"/>
        <w:jc w:val="center"/>
        <w:rPr>
          <w:b/>
          <w:szCs w:val="24"/>
        </w:rPr>
      </w:pPr>
      <w:r>
        <w:rPr>
          <w:b/>
          <w:szCs w:val="24"/>
        </w:rPr>
        <w:t xml:space="preserve">Änderung vom </w:t>
      </w:r>
      <w:r w:rsidR="000A0B57">
        <w:rPr>
          <w:b/>
          <w:szCs w:val="24"/>
        </w:rPr>
        <w:t>20</w:t>
      </w:r>
      <w:r>
        <w:rPr>
          <w:b/>
          <w:szCs w:val="24"/>
        </w:rPr>
        <w:t>.</w:t>
      </w:r>
      <w:r w:rsidR="008E7473">
        <w:rPr>
          <w:b/>
          <w:szCs w:val="24"/>
        </w:rPr>
        <w:t>0</w:t>
      </w:r>
      <w:r w:rsidR="000A0B57">
        <w:rPr>
          <w:b/>
          <w:szCs w:val="24"/>
        </w:rPr>
        <w:t>9</w:t>
      </w:r>
      <w:r>
        <w:rPr>
          <w:b/>
          <w:szCs w:val="24"/>
        </w:rPr>
        <w:t>.202</w:t>
      </w:r>
      <w:r w:rsidR="008E7473">
        <w:rPr>
          <w:b/>
          <w:szCs w:val="24"/>
        </w:rPr>
        <w:t>3</w:t>
      </w:r>
    </w:p>
    <w:p w14:paraId="57E65907" w14:textId="77777777" w:rsidR="002E78AB" w:rsidRDefault="002E78AB" w:rsidP="00092E84">
      <w:pPr>
        <w:pStyle w:val="Kopfzeile"/>
        <w:tabs>
          <w:tab w:val="clear" w:pos="4536"/>
          <w:tab w:val="clear" w:pos="9072"/>
        </w:tabs>
        <w:spacing w:after="120" w:line="100" w:lineRule="atLeast"/>
        <w:jc w:val="both"/>
        <w:rPr>
          <w:b/>
          <w:sz w:val="28"/>
          <w:szCs w:val="28"/>
        </w:rPr>
      </w:pPr>
    </w:p>
    <w:p w14:paraId="3AF23C82" w14:textId="77777777" w:rsidR="002E78AB" w:rsidRPr="005A61E9" w:rsidRDefault="002E78AB" w:rsidP="00FD15AB">
      <w:pPr>
        <w:pStyle w:val="berschrift1"/>
        <w:tabs>
          <w:tab w:val="clear" w:pos="432"/>
          <w:tab w:val="num" w:pos="69"/>
        </w:tabs>
        <w:jc w:val="both"/>
        <w:rPr>
          <w:rFonts w:ascii="Arial" w:hAnsi="Arial" w:cs="Arial"/>
        </w:rPr>
      </w:pPr>
      <w:bookmarkStart w:id="0" w:name="_Toc55647072"/>
      <w:r w:rsidRPr="00FD15AB">
        <w:rPr>
          <w:color w:val="000000"/>
        </w:rPr>
        <w:t>Inhalt</w:t>
      </w:r>
      <w:bookmarkEnd w:id="0"/>
    </w:p>
    <w:p w14:paraId="7A080E55" w14:textId="77777777" w:rsidR="00FD15AB" w:rsidRPr="00FD15AB" w:rsidRDefault="002E78AB">
      <w:pPr>
        <w:pStyle w:val="Verzeichnis1"/>
        <w:rPr>
          <w:rFonts w:ascii="Arial" w:eastAsiaTheme="minorEastAsia" w:hAnsi="Arial" w:cs="Arial"/>
          <w:noProof/>
          <w:sz w:val="20"/>
          <w:szCs w:val="20"/>
          <w:lang w:eastAsia="de-DE"/>
        </w:rPr>
      </w:pPr>
      <w:r w:rsidRPr="00FD15AB">
        <w:rPr>
          <w:rFonts w:ascii="Arial" w:hAnsi="Arial" w:cs="Arial"/>
          <w:sz w:val="20"/>
          <w:szCs w:val="20"/>
        </w:rPr>
        <w:fldChar w:fldCharType="begin"/>
      </w:r>
      <w:r w:rsidRPr="00FD15AB">
        <w:rPr>
          <w:rFonts w:ascii="Arial" w:hAnsi="Arial" w:cs="Arial"/>
          <w:sz w:val="20"/>
          <w:szCs w:val="20"/>
        </w:rPr>
        <w:instrText xml:space="preserve"> TOC </w:instrText>
      </w:r>
      <w:r w:rsidRPr="00FD15AB">
        <w:rPr>
          <w:rFonts w:ascii="Arial" w:hAnsi="Arial" w:cs="Arial"/>
          <w:sz w:val="20"/>
          <w:szCs w:val="20"/>
        </w:rPr>
        <w:fldChar w:fldCharType="separate"/>
      </w:r>
      <w:r w:rsidR="00FD15AB" w:rsidRPr="00FD15AB">
        <w:rPr>
          <w:rFonts w:ascii="Arial" w:hAnsi="Arial" w:cs="Arial"/>
          <w:noProof/>
          <w:color w:val="000000"/>
          <w:sz w:val="20"/>
          <w:szCs w:val="20"/>
        </w:rPr>
        <w:t>Inhalt</w:t>
      </w:r>
      <w:r w:rsidR="00FD15AB" w:rsidRPr="00FD15AB">
        <w:rPr>
          <w:rFonts w:ascii="Arial" w:hAnsi="Arial" w:cs="Arial"/>
          <w:noProof/>
          <w:sz w:val="20"/>
          <w:szCs w:val="20"/>
        </w:rPr>
        <w:tab/>
      </w:r>
      <w:r w:rsidR="00FD15AB" w:rsidRPr="00FD15AB">
        <w:rPr>
          <w:rFonts w:ascii="Arial" w:hAnsi="Arial" w:cs="Arial"/>
          <w:noProof/>
          <w:sz w:val="20"/>
          <w:szCs w:val="20"/>
        </w:rPr>
        <w:fldChar w:fldCharType="begin"/>
      </w:r>
      <w:r w:rsidR="00FD15AB" w:rsidRPr="00FD15AB">
        <w:rPr>
          <w:rFonts w:ascii="Arial" w:hAnsi="Arial" w:cs="Arial"/>
          <w:noProof/>
          <w:sz w:val="20"/>
          <w:szCs w:val="20"/>
        </w:rPr>
        <w:instrText xml:space="preserve"> PAGEREF _Toc55647072 \h </w:instrText>
      </w:r>
      <w:r w:rsidR="00FD15AB" w:rsidRPr="00FD15AB">
        <w:rPr>
          <w:rFonts w:ascii="Arial" w:hAnsi="Arial" w:cs="Arial"/>
          <w:noProof/>
          <w:sz w:val="20"/>
          <w:szCs w:val="20"/>
        </w:rPr>
      </w:r>
      <w:r w:rsidR="00FD15AB" w:rsidRPr="00FD15AB">
        <w:rPr>
          <w:rFonts w:ascii="Arial" w:hAnsi="Arial" w:cs="Arial"/>
          <w:noProof/>
          <w:sz w:val="20"/>
          <w:szCs w:val="20"/>
        </w:rPr>
        <w:fldChar w:fldCharType="separate"/>
      </w:r>
      <w:r w:rsidR="00FD15AB" w:rsidRPr="00FD15AB">
        <w:rPr>
          <w:rFonts w:ascii="Arial" w:hAnsi="Arial" w:cs="Arial"/>
          <w:noProof/>
          <w:sz w:val="20"/>
          <w:szCs w:val="20"/>
        </w:rPr>
        <w:t>1</w:t>
      </w:r>
      <w:r w:rsidR="00FD15AB" w:rsidRPr="00FD15AB">
        <w:rPr>
          <w:rFonts w:ascii="Arial" w:hAnsi="Arial" w:cs="Arial"/>
          <w:noProof/>
          <w:sz w:val="20"/>
          <w:szCs w:val="20"/>
        </w:rPr>
        <w:fldChar w:fldCharType="end"/>
      </w:r>
    </w:p>
    <w:p w14:paraId="221ABB2E"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1 Aufgaben</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_Toc55647073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1</w:t>
      </w:r>
      <w:r w:rsidRPr="00FD15AB">
        <w:rPr>
          <w:rFonts w:ascii="Arial" w:hAnsi="Arial" w:cs="Arial"/>
          <w:noProof/>
          <w:sz w:val="20"/>
          <w:szCs w:val="20"/>
        </w:rPr>
        <w:fldChar w:fldCharType="end"/>
      </w:r>
    </w:p>
    <w:p w14:paraId="768BA78D"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2 Vorsitz, Mitgliedschaft und Geschäftsführung</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_Toc55647074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2</w:t>
      </w:r>
      <w:r w:rsidRPr="00FD15AB">
        <w:rPr>
          <w:rFonts w:ascii="Arial" w:hAnsi="Arial" w:cs="Arial"/>
          <w:noProof/>
          <w:sz w:val="20"/>
          <w:szCs w:val="20"/>
        </w:rPr>
        <w:fldChar w:fldCharType="end"/>
      </w:r>
    </w:p>
    <w:p w14:paraId="66A7D63D"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3 Sitzungen</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_Toc55647075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3</w:t>
      </w:r>
      <w:r w:rsidRPr="00FD15AB">
        <w:rPr>
          <w:rFonts w:ascii="Arial" w:hAnsi="Arial" w:cs="Arial"/>
          <w:noProof/>
          <w:sz w:val="20"/>
          <w:szCs w:val="20"/>
        </w:rPr>
        <w:fldChar w:fldCharType="end"/>
      </w:r>
    </w:p>
    <w:p w14:paraId="4FD2D27A"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4 Arbeitsgruppen</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_Toc55647076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4</w:t>
      </w:r>
      <w:r w:rsidRPr="00FD15AB">
        <w:rPr>
          <w:rFonts w:ascii="Arial" w:hAnsi="Arial" w:cs="Arial"/>
          <w:noProof/>
          <w:sz w:val="20"/>
          <w:szCs w:val="20"/>
        </w:rPr>
        <w:fldChar w:fldCharType="end"/>
      </w:r>
    </w:p>
    <w:p w14:paraId="65E176DF"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5 Beschlussfassung und Geschäftsgang</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_Toc55647077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4</w:t>
      </w:r>
      <w:r w:rsidRPr="00FD15AB">
        <w:rPr>
          <w:rFonts w:ascii="Arial" w:hAnsi="Arial" w:cs="Arial"/>
          <w:noProof/>
          <w:sz w:val="20"/>
          <w:szCs w:val="20"/>
        </w:rPr>
        <w:fldChar w:fldCharType="end"/>
      </w:r>
    </w:p>
    <w:p w14:paraId="159A4013"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6 Interessenkonflikte und Verhaltenskodex</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_Toc55647078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5</w:t>
      </w:r>
      <w:r w:rsidRPr="00FD15AB">
        <w:rPr>
          <w:rFonts w:ascii="Arial" w:hAnsi="Arial" w:cs="Arial"/>
          <w:noProof/>
          <w:sz w:val="20"/>
          <w:szCs w:val="20"/>
        </w:rPr>
        <w:fldChar w:fldCharType="end"/>
      </w:r>
    </w:p>
    <w:p w14:paraId="5998E46E"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7 Transparenz</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_Toc55647079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5</w:t>
      </w:r>
      <w:r w:rsidRPr="00FD15AB">
        <w:rPr>
          <w:rFonts w:ascii="Arial" w:hAnsi="Arial" w:cs="Arial"/>
          <w:noProof/>
          <w:sz w:val="20"/>
          <w:szCs w:val="20"/>
        </w:rPr>
        <w:fldChar w:fldCharType="end"/>
      </w:r>
    </w:p>
    <w:p w14:paraId="59802D65"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8 Inkrafttreten</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_Toc55647080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5</w:t>
      </w:r>
      <w:r w:rsidRPr="00FD15AB">
        <w:rPr>
          <w:rFonts w:ascii="Arial" w:hAnsi="Arial" w:cs="Arial"/>
          <w:noProof/>
          <w:sz w:val="20"/>
          <w:szCs w:val="20"/>
        </w:rPr>
        <w:fldChar w:fldCharType="end"/>
      </w:r>
    </w:p>
    <w:p w14:paraId="255A68F0" w14:textId="77777777" w:rsidR="00FD15AB" w:rsidRPr="00FD15AB" w:rsidRDefault="00FD15AB">
      <w:pPr>
        <w:pStyle w:val="Verzeichnis1"/>
        <w:rPr>
          <w:rFonts w:ascii="Arial" w:eastAsiaTheme="minorEastAsia" w:hAnsi="Arial" w:cs="Arial"/>
          <w:noProof/>
          <w:sz w:val="20"/>
          <w:szCs w:val="20"/>
          <w:lang w:eastAsia="de-DE"/>
        </w:rPr>
      </w:pPr>
      <w:r w:rsidRPr="00FD15AB">
        <w:rPr>
          <w:rFonts w:ascii="Arial" w:hAnsi="Arial" w:cs="Arial"/>
          <w:noProof/>
          <w:color w:val="000000"/>
          <w:sz w:val="20"/>
          <w:szCs w:val="20"/>
        </w:rPr>
        <w:t>§ 9 Änderung der Geschäftsordnung</w:t>
      </w:r>
      <w:r w:rsidRPr="00FD15AB">
        <w:rPr>
          <w:rFonts w:ascii="Arial" w:hAnsi="Arial" w:cs="Arial"/>
          <w:noProof/>
          <w:sz w:val="20"/>
          <w:szCs w:val="20"/>
        </w:rPr>
        <w:tab/>
      </w:r>
      <w:r w:rsidRPr="00FD15AB">
        <w:rPr>
          <w:rFonts w:ascii="Arial" w:hAnsi="Arial" w:cs="Arial"/>
          <w:noProof/>
          <w:sz w:val="20"/>
          <w:szCs w:val="20"/>
        </w:rPr>
        <w:fldChar w:fldCharType="begin"/>
      </w:r>
      <w:r w:rsidRPr="00FD15AB">
        <w:rPr>
          <w:rFonts w:ascii="Arial" w:hAnsi="Arial" w:cs="Arial"/>
          <w:noProof/>
          <w:sz w:val="20"/>
          <w:szCs w:val="20"/>
        </w:rPr>
        <w:instrText xml:space="preserve"> PAGEREF _Toc55647081 \h </w:instrText>
      </w:r>
      <w:r w:rsidRPr="00FD15AB">
        <w:rPr>
          <w:rFonts w:ascii="Arial" w:hAnsi="Arial" w:cs="Arial"/>
          <w:noProof/>
          <w:sz w:val="20"/>
          <w:szCs w:val="20"/>
        </w:rPr>
      </w:r>
      <w:r w:rsidRPr="00FD15AB">
        <w:rPr>
          <w:rFonts w:ascii="Arial" w:hAnsi="Arial" w:cs="Arial"/>
          <w:noProof/>
          <w:sz w:val="20"/>
          <w:szCs w:val="20"/>
        </w:rPr>
        <w:fldChar w:fldCharType="separate"/>
      </w:r>
      <w:r w:rsidRPr="00FD15AB">
        <w:rPr>
          <w:rFonts w:ascii="Arial" w:hAnsi="Arial" w:cs="Arial"/>
          <w:noProof/>
          <w:sz w:val="20"/>
          <w:szCs w:val="20"/>
        </w:rPr>
        <w:t>5</w:t>
      </w:r>
      <w:r w:rsidRPr="00FD15AB">
        <w:rPr>
          <w:rFonts w:ascii="Arial" w:hAnsi="Arial" w:cs="Arial"/>
          <w:noProof/>
          <w:sz w:val="20"/>
          <w:szCs w:val="20"/>
        </w:rPr>
        <w:fldChar w:fldCharType="end"/>
      </w:r>
    </w:p>
    <w:p w14:paraId="18789296" w14:textId="77777777" w:rsidR="002E78AB" w:rsidRDefault="002E78AB" w:rsidP="00092E84">
      <w:pPr>
        <w:jc w:val="both"/>
      </w:pPr>
      <w:r w:rsidRPr="00FD15AB">
        <w:rPr>
          <w:rFonts w:ascii="Arial" w:hAnsi="Arial" w:cs="Arial"/>
          <w:sz w:val="20"/>
          <w:szCs w:val="20"/>
        </w:rPr>
        <w:fldChar w:fldCharType="end"/>
      </w:r>
      <w:hyperlink w:anchor="_Toc409707610" w:history="1"/>
    </w:p>
    <w:p w14:paraId="649C3E56" w14:textId="4BF1D8C8" w:rsidR="002E78AB" w:rsidRDefault="002E78AB" w:rsidP="00092E84">
      <w:pPr>
        <w:pStyle w:val="NurText1"/>
        <w:spacing w:line="276" w:lineRule="auto"/>
        <w:jc w:val="both"/>
        <w:rPr>
          <w:color w:val="000000"/>
        </w:rPr>
      </w:pPr>
      <w:r>
        <w:rPr>
          <w:sz w:val="22"/>
          <w:szCs w:val="22"/>
        </w:rPr>
        <w:t>Wir begrüßen und unterstützen den Beschluss der Bundesregierung, die internationale Initiative für Transparenz im rohstoffgewinnenden Sektor (</w:t>
      </w:r>
      <w:r>
        <w:rPr>
          <w:i/>
          <w:sz w:val="22"/>
          <w:szCs w:val="22"/>
        </w:rPr>
        <w:t>Extractive Industries Transparency Initiative</w:t>
      </w:r>
      <w:r>
        <w:rPr>
          <w:sz w:val="22"/>
          <w:szCs w:val="22"/>
        </w:rPr>
        <w:t xml:space="preserve"> - EITI) umzusetzen. Unser gemeinsames Ziel ist es, die Umsetzung in Deutschland innovativ, effizient</w:t>
      </w:r>
      <w:r w:rsidR="008E7473">
        <w:rPr>
          <w:sz w:val="22"/>
          <w:szCs w:val="22"/>
        </w:rPr>
        <w:t>,</w:t>
      </w:r>
      <w:r>
        <w:rPr>
          <w:sz w:val="22"/>
          <w:szCs w:val="22"/>
        </w:rPr>
        <w:t xml:space="preserve"> umfassend und im Sinne der EITI-Grundsätze und der gemeinsam verabschiedeten </w:t>
      </w:r>
      <w:hyperlink r:id="rId9" w:history="1">
        <w:r w:rsidRPr="00D87206">
          <w:rPr>
            <w:rStyle w:val="Hyperlink"/>
            <w:sz w:val="22"/>
            <w:szCs w:val="22"/>
          </w:rPr>
          <w:t>Ziele</w:t>
        </w:r>
      </w:hyperlink>
      <w:r>
        <w:rPr>
          <w:sz w:val="22"/>
          <w:szCs w:val="22"/>
        </w:rPr>
        <w:t xml:space="preserve"> der D-EITI zu</w:t>
      </w:r>
      <w:r w:rsidR="00E54B1C">
        <w:rPr>
          <w:sz w:val="22"/>
          <w:szCs w:val="22"/>
        </w:rPr>
        <w:t xml:space="preserve"> </w:t>
      </w:r>
      <w:r>
        <w:rPr>
          <w:sz w:val="22"/>
          <w:szCs w:val="22"/>
        </w:rPr>
        <w:t>gestalten. Damit möchten wir einen positiven Beitrag zur Weiterverbreitung und Weiterentwicklung der EITI leisten und für</w:t>
      </w:r>
      <w:r w:rsidR="00E54B1C">
        <w:rPr>
          <w:sz w:val="22"/>
          <w:szCs w:val="22"/>
        </w:rPr>
        <w:t xml:space="preserve"> </w:t>
      </w:r>
      <w:r w:rsidR="005A61E9">
        <w:rPr>
          <w:sz w:val="22"/>
          <w:szCs w:val="22"/>
        </w:rPr>
        <w:t>T</w:t>
      </w:r>
      <w:r>
        <w:rPr>
          <w:sz w:val="22"/>
          <w:szCs w:val="22"/>
        </w:rPr>
        <w:t>ransparenz und Dialog im deutschen Rohstoffsektor eintreten. Durch eine vertrauensvolle, respektvolle, gleichberechtigte und konstruktive Zusammenarbeit in der Multi-Stakeholder-Gruppe (MSG) möchten wir die gemeinsame Trägerschaft der D-EITI erfolgreich gestalten und ein positives Beispiel für diese Form der Kooperation setzen.</w:t>
      </w:r>
    </w:p>
    <w:p w14:paraId="59104BC6" w14:textId="77777777" w:rsidR="002E78AB" w:rsidRDefault="002E78AB" w:rsidP="00092E84">
      <w:pPr>
        <w:pStyle w:val="berschrift1"/>
        <w:tabs>
          <w:tab w:val="clear" w:pos="432"/>
          <w:tab w:val="num" w:pos="69"/>
        </w:tabs>
        <w:jc w:val="both"/>
        <w:rPr>
          <w:rFonts w:ascii="Arial" w:hAnsi="Arial" w:cs="Arial"/>
          <w:color w:val="000000"/>
        </w:rPr>
      </w:pPr>
      <w:bookmarkStart w:id="1" w:name="_Toc409707610"/>
      <w:bookmarkStart w:id="2" w:name="_Toc55647073"/>
      <w:r>
        <w:rPr>
          <w:color w:val="000000"/>
        </w:rPr>
        <w:t>§ 1 Aufgaben</w:t>
      </w:r>
      <w:bookmarkEnd w:id="1"/>
      <w:bookmarkEnd w:id="2"/>
    </w:p>
    <w:p w14:paraId="6137BF4C" w14:textId="77777777" w:rsidR="002E78AB" w:rsidRDefault="002E78AB" w:rsidP="00A93302">
      <w:pPr>
        <w:pStyle w:val="Listenabsatz1"/>
        <w:numPr>
          <w:ilvl w:val="0"/>
          <w:numId w:val="3"/>
        </w:numPr>
        <w:tabs>
          <w:tab w:val="clear" w:pos="0"/>
          <w:tab w:val="num" w:pos="-726"/>
        </w:tabs>
        <w:spacing w:before="120" w:after="120"/>
        <w:ind w:left="567" w:hanging="567"/>
        <w:jc w:val="both"/>
        <w:rPr>
          <w:rFonts w:ascii="Arial" w:hAnsi="Arial" w:cs="Arial"/>
          <w:color w:val="000000"/>
        </w:rPr>
      </w:pPr>
      <w:r>
        <w:rPr>
          <w:rFonts w:ascii="Arial" w:hAnsi="Arial" w:cs="Arial"/>
          <w:color w:val="000000"/>
        </w:rPr>
        <w:t>Die MSG steuert die D-EITI mit dem Ziel,</w:t>
      </w:r>
      <w:r w:rsidR="00E54B1C">
        <w:rPr>
          <w:rFonts w:ascii="Arial" w:hAnsi="Arial" w:cs="Arial"/>
          <w:color w:val="000000"/>
        </w:rPr>
        <w:t xml:space="preserve"> </w:t>
      </w:r>
      <w:r>
        <w:rPr>
          <w:rFonts w:ascii="Arial" w:hAnsi="Arial" w:cs="Arial"/>
          <w:color w:val="000000"/>
        </w:rPr>
        <w:t>die Anforderungen für eine Umsetzung der EITI zu erfüllen. Sie hat Entscheidungsfunktionen bei der Gestaltung, der Umsetzung, dem Monitoring, der Evaluierung sowie der Weiterentwicklung des D-EITI-Prozesses und stellt sicher, dass die D-EITI zu einer informierten, öffentlichen Debatte über den Rohstoffsektor in Deutschland beiträgt.</w:t>
      </w:r>
    </w:p>
    <w:p w14:paraId="32B2B4AE" w14:textId="77777777" w:rsidR="002E78AB" w:rsidRDefault="002E78AB" w:rsidP="00A93302">
      <w:pPr>
        <w:pStyle w:val="Listenabsatz1"/>
        <w:numPr>
          <w:ilvl w:val="0"/>
          <w:numId w:val="3"/>
        </w:numPr>
        <w:tabs>
          <w:tab w:val="clear" w:pos="0"/>
          <w:tab w:val="num" w:pos="-363"/>
        </w:tabs>
        <w:spacing w:before="120" w:after="120"/>
        <w:ind w:left="567" w:hanging="567"/>
        <w:jc w:val="both"/>
        <w:rPr>
          <w:rFonts w:ascii="Arial" w:hAnsi="Arial" w:cs="Arial"/>
          <w:color w:val="000000"/>
        </w:rPr>
      </w:pPr>
      <w:r>
        <w:rPr>
          <w:rFonts w:ascii="Arial" w:hAnsi="Arial" w:cs="Arial"/>
          <w:color w:val="000000"/>
        </w:rPr>
        <w:t>Die MSG ist gemeinschaftlich dafür verantwortlich, dass Ansichten und Interessen unterschiedlicher Stakeholder bei der Gestaltung und Umsetzung von D-EITI berücksichtigt werden.</w:t>
      </w:r>
    </w:p>
    <w:p w14:paraId="0CCA4A89" w14:textId="77777777" w:rsidR="002E78AB" w:rsidRDefault="002E78AB" w:rsidP="00A93302">
      <w:pPr>
        <w:pStyle w:val="Listenabsatz1"/>
        <w:numPr>
          <w:ilvl w:val="0"/>
          <w:numId w:val="3"/>
        </w:numPr>
        <w:tabs>
          <w:tab w:val="clear" w:pos="0"/>
          <w:tab w:val="num" w:pos="-363"/>
        </w:tabs>
        <w:spacing w:before="120" w:after="120"/>
        <w:ind w:left="567" w:hanging="567"/>
        <w:jc w:val="both"/>
        <w:rPr>
          <w:rFonts w:ascii="Arial" w:hAnsi="Arial" w:cs="Arial"/>
          <w:color w:val="000000"/>
        </w:rPr>
      </w:pPr>
      <w:r>
        <w:rPr>
          <w:rFonts w:ascii="Arial" w:hAnsi="Arial" w:cs="Arial"/>
          <w:color w:val="000000"/>
        </w:rPr>
        <w:t xml:space="preserve">Die MSG-Mitglieder sind die Vertreterinnen und Vertreter der drei Stakeholder-Gruppen Regierung, Wirtschaft und Zivilgesellschaft und müssen sich mit diesen regelmäßig, nachvollziehbar und mit transparenten Ergebnissen abstimmen. Um dieser Aufgabe </w:t>
      </w:r>
      <w:r>
        <w:rPr>
          <w:rFonts w:ascii="Arial" w:hAnsi="Arial" w:cs="Arial"/>
          <w:color w:val="000000"/>
        </w:rPr>
        <w:lastRenderedPageBreak/>
        <w:t>nachkommen zu können, werden die MSG-Mitglieder ihrer jeweiligen Stakeholder-Gruppe umfassend und informiert Bericht erstatten.</w:t>
      </w:r>
    </w:p>
    <w:p w14:paraId="7E49CC97" w14:textId="5169F824" w:rsidR="002E78AB" w:rsidRPr="0039037A" w:rsidRDefault="002E78AB" w:rsidP="00670D74">
      <w:pPr>
        <w:pStyle w:val="Listenabsatz1"/>
        <w:numPr>
          <w:ilvl w:val="0"/>
          <w:numId w:val="3"/>
        </w:numPr>
        <w:tabs>
          <w:tab w:val="clear" w:pos="0"/>
          <w:tab w:val="num" w:pos="-363"/>
        </w:tabs>
        <w:spacing w:before="120" w:after="120"/>
        <w:ind w:left="567" w:hanging="567"/>
        <w:jc w:val="both"/>
        <w:rPr>
          <w:rFonts w:ascii="Arial" w:hAnsi="Arial" w:cs="Arial"/>
          <w:color w:val="000000"/>
        </w:rPr>
      </w:pPr>
      <w:r>
        <w:rPr>
          <w:rFonts w:ascii="Arial" w:hAnsi="Arial" w:cs="Arial"/>
          <w:color w:val="000000"/>
        </w:rPr>
        <w:t xml:space="preserve">Die Zuständigkeiten der MSG umfassen vor dem Hintergrund des </w:t>
      </w:r>
      <w:hyperlink r:id="rId10" w:history="1">
        <w:r w:rsidRPr="00C3154C">
          <w:rPr>
            <w:rStyle w:val="Hyperlink"/>
            <w:rFonts w:ascii="Arial" w:hAnsi="Arial" w:cs="Arial"/>
          </w:rPr>
          <w:t>EITI-Standards</w:t>
        </w:r>
      </w:hyperlink>
      <w:r>
        <w:rPr>
          <w:rFonts w:ascii="Arial" w:hAnsi="Arial" w:cs="Arial"/>
          <w:color w:val="000000"/>
        </w:rPr>
        <w:t xml:space="preserve"> </w:t>
      </w:r>
      <w:r w:rsidR="00A01320">
        <w:rPr>
          <w:rFonts w:ascii="Arial" w:hAnsi="Arial" w:cs="Arial"/>
          <w:color w:val="000000"/>
        </w:rPr>
        <w:t>von 201</w:t>
      </w:r>
      <w:r w:rsidR="008E7473">
        <w:rPr>
          <w:rFonts w:ascii="Arial" w:hAnsi="Arial" w:cs="Arial"/>
          <w:color w:val="000000"/>
        </w:rPr>
        <w:t>9</w:t>
      </w:r>
      <w:r w:rsidR="00A01320">
        <w:rPr>
          <w:rFonts w:ascii="Arial" w:hAnsi="Arial" w:cs="Arial"/>
          <w:color w:val="000000"/>
        </w:rPr>
        <w:t xml:space="preserve"> sowie des geänderten Standards von </w:t>
      </w:r>
      <w:r w:rsidR="00C3154C">
        <w:rPr>
          <w:rFonts w:ascii="Arial" w:hAnsi="Arial" w:cs="Arial"/>
          <w:color w:val="000000"/>
        </w:rPr>
        <w:t>20</w:t>
      </w:r>
      <w:r w:rsidR="008E7473">
        <w:rPr>
          <w:rFonts w:ascii="Arial" w:hAnsi="Arial" w:cs="Arial"/>
          <w:color w:val="000000"/>
        </w:rPr>
        <w:t>23</w:t>
      </w:r>
      <w:r>
        <w:rPr>
          <w:rFonts w:ascii="Arial" w:hAnsi="Arial" w:cs="Arial"/>
          <w:color w:val="000000"/>
        </w:rPr>
        <w:t xml:space="preserve"> insbesondere:</w:t>
      </w:r>
    </w:p>
    <w:p w14:paraId="703AB736" w14:textId="77777777" w:rsidR="002E78AB" w:rsidRDefault="002E78AB" w:rsidP="00A93302">
      <w:pPr>
        <w:pStyle w:val="Listenabsatz1"/>
        <w:numPr>
          <w:ilvl w:val="0"/>
          <w:numId w:val="4"/>
        </w:numPr>
        <w:tabs>
          <w:tab w:val="clear" w:pos="0"/>
          <w:tab w:val="num" w:pos="-363"/>
        </w:tabs>
        <w:spacing w:before="120" w:after="120"/>
        <w:ind w:left="567" w:hanging="567"/>
        <w:jc w:val="both"/>
        <w:rPr>
          <w:rFonts w:ascii="Arial" w:hAnsi="Arial" w:cs="Arial"/>
          <w:color w:val="000000"/>
        </w:rPr>
      </w:pPr>
      <w:r>
        <w:rPr>
          <w:rFonts w:ascii="Arial" w:hAnsi="Arial" w:cs="Arial"/>
          <w:color w:val="000000"/>
        </w:rPr>
        <w:t>Festlegung von Umfang, Tiefe und Format der EITI-Berichterstattung in Deutschland und Einbeziehung der für die Umsetzung zuständigen Stellen</w:t>
      </w:r>
      <w:r w:rsidR="00E54B1C">
        <w:rPr>
          <w:rFonts w:ascii="Arial" w:hAnsi="Arial" w:cs="Arial"/>
          <w:color w:val="000000"/>
        </w:rPr>
        <w:t xml:space="preserve">  </w:t>
      </w:r>
    </w:p>
    <w:p w14:paraId="17938449" w14:textId="77777777" w:rsidR="002E78AB" w:rsidRDefault="002E78AB" w:rsidP="00A93302">
      <w:pPr>
        <w:pStyle w:val="Listenabsatz1"/>
        <w:numPr>
          <w:ilvl w:val="0"/>
          <w:numId w:val="4"/>
        </w:numPr>
        <w:tabs>
          <w:tab w:val="clear" w:pos="0"/>
          <w:tab w:val="num" w:pos="-363"/>
        </w:tabs>
        <w:spacing w:before="120" w:after="120"/>
        <w:ind w:left="567" w:hanging="567"/>
        <w:jc w:val="both"/>
        <w:rPr>
          <w:rFonts w:ascii="Arial" w:hAnsi="Arial" w:cs="Arial"/>
          <w:color w:val="000000"/>
        </w:rPr>
      </w:pPr>
      <w:r>
        <w:rPr>
          <w:rFonts w:ascii="Arial" w:hAnsi="Arial" w:cs="Arial"/>
          <w:color w:val="000000"/>
        </w:rPr>
        <w:t>Unterstützung bei der</w:t>
      </w:r>
      <w:r w:rsidR="00E54B1C">
        <w:rPr>
          <w:rFonts w:ascii="Arial" w:hAnsi="Arial" w:cs="Arial"/>
          <w:color w:val="000000"/>
        </w:rPr>
        <w:t xml:space="preserve"> </w:t>
      </w:r>
      <w:r>
        <w:rPr>
          <w:rFonts w:ascii="Arial" w:hAnsi="Arial" w:cs="Arial"/>
          <w:color w:val="000000"/>
        </w:rPr>
        <w:t xml:space="preserve">Erstellung und Genehmigung der Leistungsbeschreibung für den Unabhängigen Verwalter </w:t>
      </w:r>
    </w:p>
    <w:p w14:paraId="1146AD21" w14:textId="7A54A562" w:rsidR="002E78AB" w:rsidRDefault="002E78AB" w:rsidP="00A93302">
      <w:pPr>
        <w:pStyle w:val="Listenabsatz1"/>
        <w:numPr>
          <w:ilvl w:val="0"/>
          <w:numId w:val="4"/>
        </w:numPr>
        <w:tabs>
          <w:tab w:val="clear" w:pos="0"/>
          <w:tab w:val="num" w:pos="-363"/>
        </w:tabs>
        <w:spacing w:before="120" w:after="120"/>
        <w:ind w:left="567" w:hanging="567"/>
        <w:jc w:val="both"/>
        <w:rPr>
          <w:rFonts w:ascii="Arial" w:hAnsi="Arial" w:cs="Arial"/>
          <w:color w:val="000000"/>
        </w:rPr>
      </w:pPr>
      <w:r>
        <w:rPr>
          <w:rFonts w:ascii="Arial" w:hAnsi="Arial" w:cs="Arial"/>
          <w:color w:val="000000"/>
        </w:rPr>
        <w:t>Genehmigung der D-EITI-Bericht</w:t>
      </w:r>
      <w:r w:rsidR="00670D74">
        <w:rPr>
          <w:rFonts w:ascii="Arial" w:hAnsi="Arial" w:cs="Arial"/>
          <w:color w:val="000000"/>
        </w:rPr>
        <w:t>erstattung</w:t>
      </w:r>
      <w:r>
        <w:rPr>
          <w:rFonts w:ascii="Arial" w:hAnsi="Arial" w:cs="Arial"/>
          <w:color w:val="000000"/>
        </w:rPr>
        <w:t xml:space="preserve"> und Erstellung der jährlichen Fortschrittsberichte der MSG</w:t>
      </w:r>
      <w:r w:rsidR="00E54B1C">
        <w:rPr>
          <w:rFonts w:ascii="Arial" w:hAnsi="Arial" w:cs="Arial"/>
          <w:color w:val="000000"/>
        </w:rPr>
        <w:t xml:space="preserve">  </w:t>
      </w:r>
    </w:p>
    <w:p w14:paraId="5F6C7ED6" w14:textId="77777777" w:rsidR="002E78AB" w:rsidRDefault="002E78AB" w:rsidP="00A93302">
      <w:pPr>
        <w:pStyle w:val="Listenabsatz1"/>
        <w:numPr>
          <w:ilvl w:val="0"/>
          <w:numId w:val="4"/>
        </w:numPr>
        <w:tabs>
          <w:tab w:val="clear" w:pos="0"/>
          <w:tab w:val="num" w:pos="-363"/>
        </w:tabs>
        <w:spacing w:before="120" w:after="120"/>
        <w:ind w:left="567" w:hanging="567"/>
        <w:jc w:val="both"/>
        <w:rPr>
          <w:rFonts w:ascii="Arial" w:hAnsi="Arial" w:cs="Arial"/>
          <w:color w:val="000000"/>
        </w:rPr>
      </w:pPr>
      <w:r>
        <w:rPr>
          <w:rFonts w:ascii="Arial" w:hAnsi="Arial" w:cs="Arial"/>
          <w:color w:val="000000"/>
        </w:rPr>
        <w:t>Kontrolle des D-EITI-Berichterstattungsprozesses und Unterstützung der Validierung</w:t>
      </w:r>
    </w:p>
    <w:p w14:paraId="604ACC41" w14:textId="77777777" w:rsidR="002E78AB" w:rsidRDefault="002E78AB" w:rsidP="00A93302">
      <w:pPr>
        <w:pStyle w:val="Listenabsatz1"/>
        <w:numPr>
          <w:ilvl w:val="0"/>
          <w:numId w:val="4"/>
        </w:numPr>
        <w:tabs>
          <w:tab w:val="clear" w:pos="0"/>
          <w:tab w:val="num" w:pos="-363"/>
        </w:tabs>
        <w:spacing w:before="120" w:after="120"/>
        <w:ind w:left="567" w:hanging="567"/>
        <w:jc w:val="both"/>
        <w:rPr>
          <w:rFonts w:ascii="Arial" w:hAnsi="Arial" w:cs="Arial"/>
          <w:color w:val="000000"/>
        </w:rPr>
      </w:pPr>
      <w:r>
        <w:rPr>
          <w:rFonts w:ascii="Arial" w:hAnsi="Arial" w:cs="Arial"/>
          <w:color w:val="000000"/>
        </w:rPr>
        <w:t xml:space="preserve">Erstellung, Umsetzung, jährliche Überprüfung sowie Aktualisierung eines nationalen </w:t>
      </w:r>
      <w:hyperlink r:id="rId11" w:history="1">
        <w:r w:rsidRPr="00AF59FD">
          <w:rPr>
            <w:rStyle w:val="Hyperlink"/>
            <w:rFonts w:ascii="Arial" w:hAnsi="Arial" w:cs="Arial"/>
          </w:rPr>
          <w:t>Arbeitsplans</w:t>
        </w:r>
      </w:hyperlink>
      <w:r>
        <w:rPr>
          <w:rFonts w:ascii="Arial" w:hAnsi="Arial" w:cs="Arial"/>
          <w:color w:val="000000"/>
        </w:rPr>
        <w:t xml:space="preserve">, einschließlich der Finanzplanung </w:t>
      </w:r>
    </w:p>
    <w:p w14:paraId="308AC4C3" w14:textId="77777777" w:rsidR="002E78AB" w:rsidRDefault="002E78AB" w:rsidP="00A93302">
      <w:pPr>
        <w:pStyle w:val="Listenabsatz1"/>
        <w:numPr>
          <w:ilvl w:val="0"/>
          <w:numId w:val="4"/>
        </w:numPr>
        <w:tabs>
          <w:tab w:val="clear" w:pos="0"/>
          <w:tab w:val="num" w:pos="-363"/>
        </w:tabs>
        <w:spacing w:before="120" w:after="120"/>
        <w:ind w:left="567" w:hanging="567"/>
        <w:jc w:val="both"/>
        <w:rPr>
          <w:rFonts w:ascii="Arial" w:hAnsi="Arial" w:cs="Arial"/>
          <w:iCs/>
          <w:color w:val="000000"/>
        </w:rPr>
      </w:pPr>
      <w:r>
        <w:rPr>
          <w:rFonts w:ascii="Arial" w:hAnsi="Arial" w:cs="Arial"/>
          <w:color w:val="000000"/>
        </w:rPr>
        <w:t>Erstellung und Umsetzung einer Kommunikationsstrategie</w:t>
      </w:r>
    </w:p>
    <w:p w14:paraId="56AB3CF0" w14:textId="77777777" w:rsidR="002E78AB" w:rsidRDefault="002E78AB" w:rsidP="00A93302">
      <w:pPr>
        <w:pStyle w:val="Listenabsatz1"/>
        <w:numPr>
          <w:ilvl w:val="0"/>
          <w:numId w:val="3"/>
        </w:numPr>
        <w:tabs>
          <w:tab w:val="clear" w:pos="0"/>
          <w:tab w:val="num" w:pos="-363"/>
        </w:tabs>
        <w:spacing w:before="120" w:after="120"/>
        <w:ind w:left="567" w:hanging="567"/>
        <w:jc w:val="both"/>
        <w:rPr>
          <w:color w:val="000000"/>
        </w:rPr>
      </w:pPr>
      <w:r>
        <w:rPr>
          <w:rFonts w:ascii="Arial" w:hAnsi="Arial" w:cs="Arial"/>
          <w:iCs/>
          <w:color w:val="000000"/>
        </w:rPr>
        <w:t>Die MSG berichtet der Bundesregierung anlassbezogen.</w:t>
      </w:r>
    </w:p>
    <w:p w14:paraId="024DA3B3" w14:textId="77777777" w:rsidR="002E78AB" w:rsidRDefault="002E78AB" w:rsidP="00092E84">
      <w:pPr>
        <w:pStyle w:val="berschrift1"/>
        <w:jc w:val="both"/>
        <w:rPr>
          <w:rFonts w:ascii="Arial" w:hAnsi="Arial" w:cs="Arial"/>
          <w:color w:val="000000"/>
        </w:rPr>
      </w:pPr>
      <w:bookmarkStart w:id="3" w:name="_Toc409707611"/>
      <w:bookmarkStart w:id="4" w:name="_Toc55647074"/>
      <w:r>
        <w:rPr>
          <w:color w:val="000000"/>
        </w:rPr>
        <w:t>§ 2 Vorsitz, Mitgliedschaft und Geschäftsführung</w:t>
      </w:r>
      <w:bookmarkEnd w:id="3"/>
      <w:bookmarkEnd w:id="4"/>
    </w:p>
    <w:p w14:paraId="778DBBB4" w14:textId="4D34F181" w:rsidR="002E78AB" w:rsidRDefault="002E78AB" w:rsidP="00A93302">
      <w:pPr>
        <w:pStyle w:val="Listenabsatz1"/>
        <w:numPr>
          <w:ilvl w:val="0"/>
          <w:numId w:val="2"/>
        </w:numPr>
        <w:spacing w:before="120" w:after="120"/>
        <w:ind w:left="567" w:hanging="567"/>
        <w:jc w:val="both"/>
        <w:rPr>
          <w:rFonts w:ascii="Arial" w:hAnsi="Arial" w:cs="Arial"/>
          <w:color w:val="000000"/>
        </w:rPr>
      </w:pPr>
      <w:r>
        <w:rPr>
          <w:rFonts w:ascii="Arial" w:hAnsi="Arial" w:cs="Arial"/>
          <w:color w:val="000000"/>
        </w:rPr>
        <w:t xml:space="preserve">Der Vorsitz der MSG liegt beim Bundesministerium für Wirtschaft und </w:t>
      </w:r>
      <w:r w:rsidR="008E7473">
        <w:rPr>
          <w:rFonts w:ascii="Arial" w:hAnsi="Arial" w:cs="Arial"/>
          <w:color w:val="000000"/>
        </w:rPr>
        <w:t>Klimaschutz</w:t>
      </w:r>
      <w:r>
        <w:rPr>
          <w:rFonts w:ascii="Arial" w:hAnsi="Arial" w:cs="Arial"/>
          <w:color w:val="000000"/>
        </w:rPr>
        <w:t xml:space="preserve"> (BMW</w:t>
      </w:r>
      <w:r w:rsidR="008E7473">
        <w:rPr>
          <w:rFonts w:ascii="Arial" w:hAnsi="Arial" w:cs="Arial"/>
          <w:color w:val="000000"/>
        </w:rPr>
        <w:t>K</w:t>
      </w:r>
      <w:r>
        <w:rPr>
          <w:rFonts w:ascii="Arial" w:hAnsi="Arial" w:cs="Arial"/>
          <w:color w:val="000000"/>
        </w:rPr>
        <w:t>). Die MSG besteht aus fünfzehn (15) Mitgliedern und ist mit je fünf (5) Vertreterinnen und Vertretern der drei (3) Stakeholder-Gruppen besetzt. Die Berufung zusätzlicher Mitglieder ist auf Vorschlag und im Einvernehmen der MSG</w:t>
      </w:r>
      <w:r>
        <w:rPr>
          <w:rFonts w:ascii="Arial" w:hAnsi="Arial"/>
          <w:color w:val="000000"/>
        </w:rPr>
        <w:t>-Mitglieder möglich.</w:t>
      </w:r>
    </w:p>
    <w:p w14:paraId="1366D2A5" w14:textId="6FA52F3E" w:rsidR="002E78AB" w:rsidRPr="002C439E" w:rsidRDefault="002E78AB" w:rsidP="00A93302">
      <w:pPr>
        <w:pStyle w:val="Listenabsatz1"/>
        <w:numPr>
          <w:ilvl w:val="0"/>
          <w:numId w:val="2"/>
        </w:numPr>
        <w:ind w:left="567" w:hanging="567"/>
        <w:jc w:val="both"/>
        <w:rPr>
          <w:rFonts w:ascii="Arial" w:hAnsi="Arial" w:cs="Arial"/>
          <w:color w:val="000000"/>
        </w:rPr>
      </w:pPr>
      <w:r>
        <w:rPr>
          <w:rFonts w:ascii="Arial" w:hAnsi="Arial" w:cs="Arial"/>
          <w:color w:val="000000"/>
        </w:rPr>
        <w:t xml:space="preserve">Mitglieder werden für einen Zeitraum von mindestens zwei (2) Jahren durch die Bundesregierung berufen. </w:t>
      </w:r>
      <w:r>
        <w:rPr>
          <w:rFonts w:ascii="Arial" w:hAnsi="Arial" w:cs="Arial"/>
        </w:rPr>
        <w:t xml:space="preserve">Die Stakeholder-Gruppen nominieren ihre Vertreterinnen und Vertreter in einem </w:t>
      </w:r>
      <w:r w:rsidR="00BD504C">
        <w:rPr>
          <w:rFonts w:ascii="Arial" w:hAnsi="Arial" w:cs="Arial"/>
        </w:rPr>
        <w:t xml:space="preserve">offenen, </w:t>
      </w:r>
      <w:r>
        <w:rPr>
          <w:rFonts w:ascii="Arial" w:hAnsi="Arial" w:cs="Arial"/>
        </w:rPr>
        <w:t xml:space="preserve">unabhängigen Prozess und stellen deren Repräsentativität sicher. Zur Erhaltung der Arbeitsfähigkeit der MSG gilt das Prinzip der Personenkontinuität. Bei vorzeitigem Ausscheiden eines Mitglieds wird die Nachfolgerin oder der Nachfolger wiederum auf Vorschlag der jeweiligen Stakeholder-Gruppe durch die Bundesregierung berufen. </w:t>
      </w:r>
    </w:p>
    <w:p w14:paraId="66035E6B" w14:textId="20C33731" w:rsidR="002C439E" w:rsidRPr="00092E84" w:rsidRDefault="002C439E" w:rsidP="00A93302">
      <w:pPr>
        <w:pStyle w:val="Listenabsatz1"/>
        <w:numPr>
          <w:ilvl w:val="0"/>
          <w:numId w:val="2"/>
        </w:numPr>
        <w:ind w:left="567" w:hanging="567"/>
        <w:jc w:val="both"/>
        <w:rPr>
          <w:rFonts w:ascii="Arial" w:hAnsi="Arial" w:cs="Arial"/>
          <w:color w:val="000000"/>
        </w:rPr>
      </w:pPr>
      <w:r w:rsidRPr="002C439E">
        <w:rPr>
          <w:rFonts w:ascii="Arial" w:hAnsi="Arial" w:cs="Arial"/>
          <w:color w:val="000000"/>
        </w:rPr>
        <w:t xml:space="preserve">Die Stakeholdergruppen berücksichtigen in den internen Nominierungsverfahren die Vielfalt ihrer Mitglieder, einschließlich der Gleichstellung der Geschlechter, um sicherzustellen, dass die Mitgliedschaft dem Wandel im rohstoffgewinnenden Sektor und den Anforderungen des EITI Standards </w:t>
      </w:r>
      <w:r>
        <w:rPr>
          <w:rFonts w:ascii="Arial" w:hAnsi="Arial" w:cs="Arial"/>
          <w:color w:val="000000"/>
        </w:rPr>
        <w:t xml:space="preserve">jederzeit </w:t>
      </w:r>
      <w:r w:rsidRPr="002C439E">
        <w:rPr>
          <w:rFonts w:ascii="Arial" w:hAnsi="Arial" w:cs="Arial"/>
          <w:color w:val="000000"/>
        </w:rPr>
        <w:t>gerecht wird.</w:t>
      </w:r>
    </w:p>
    <w:p w14:paraId="6AABBDDC" w14:textId="16801FFC" w:rsidR="003C7061" w:rsidRDefault="003C7061" w:rsidP="00A93302">
      <w:pPr>
        <w:pStyle w:val="Listenabsatz1"/>
        <w:numPr>
          <w:ilvl w:val="0"/>
          <w:numId w:val="2"/>
        </w:numPr>
        <w:ind w:left="567" w:hanging="567"/>
        <w:jc w:val="both"/>
        <w:rPr>
          <w:rFonts w:ascii="Arial" w:hAnsi="Arial" w:cs="Arial"/>
          <w:color w:val="000000"/>
        </w:rPr>
      </w:pPr>
      <w:r>
        <w:rPr>
          <w:rFonts w:ascii="Arial" w:hAnsi="Arial" w:cs="Arial"/>
        </w:rPr>
        <w:t>Bei Personenwechseln gewährleistet die jeweilige Stakeholder-Gruppe einen reibungslosen Fortgang der Diskussionen und informiert das neue Mitglied (MSG</w:t>
      </w:r>
      <w:r w:rsidR="008E7473">
        <w:rPr>
          <w:rFonts w:ascii="Arial" w:hAnsi="Arial" w:cs="Arial"/>
        </w:rPr>
        <w:t>-</w:t>
      </w:r>
      <w:r>
        <w:rPr>
          <w:rFonts w:ascii="Arial" w:hAnsi="Arial" w:cs="Arial"/>
        </w:rPr>
        <w:t>Mitglied und Vertreterinnen und Vertreter) über den aktuellen Stand der Diskussion.</w:t>
      </w:r>
      <w:r w:rsidR="00E54B1C">
        <w:rPr>
          <w:rFonts w:ascii="Arial" w:hAnsi="Arial" w:cs="Arial"/>
        </w:rPr>
        <w:t xml:space="preserve">  </w:t>
      </w:r>
    </w:p>
    <w:p w14:paraId="599F8A6B" w14:textId="721D692A" w:rsidR="002E78AB" w:rsidRDefault="002E78AB" w:rsidP="00A93302">
      <w:pPr>
        <w:pStyle w:val="Listenabsatz1"/>
        <w:numPr>
          <w:ilvl w:val="0"/>
          <w:numId w:val="2"/>
        </w:numPr>
        <w:spacing w:before="120" w:after="120"/>
        <w:ind w:left="567" w:hanging="567"/>
        <w:jc w:val="both"/>
        <w:rPr>
          <w:rFonts w:ascii="Arial" w:hAnsi="Arial" w:cs="Arial"/>
          <w:color w:val="000000"/>
        </w:rPr>
      </w:pPr>
      <w:r>
        <w:rPr>
          <w:rFonts w:ascii="Arial" w:hAnsi="Arial" w:cs="Arial"/>
          <w:color w:val="000000"/>
        </w:rPr>
        <w:t>Jede der drei Stakeholder-Gruppen soll Stellvertreterinnen und Stellvertreter für die Mitglieder ihrer jeweiligen Gruppe benennen. Die Stellvertreterinnen und Stellvertreter werden im Verfahren nach Absatz 2 berufen und erhalten sämtliche Einladungen, Sitzungsunterlagen und Niederschriften. Den Stellvertreterinnen und Stellvertretern steht die Sitzungsteilnahme offen. Stimmrecht haben sie nur bei Abwesenheit des jeweiligen MSG-Mitglieds.</w:t>
      </w:r>
    </w:p>
    <w:p w14:paraId="6D58533C" w14:textId="14E48E7E" w:rsidR="002C439E" w:rsidRDefault="002C439E" w:rsidP="00A93302">
      <w:pPr>
        <w:pStyle w:val="Listenabsatz1"/>
        <w:numPr>
          <w:ilvl w:val="0"/>
          <w:numId w:val="2"/>
        </w:numPr>
        <w:spacing w:before="120" w:after="120"/>
        <w:ind w:left="567" w:hanging="567"/>
        <w:jc w:val="both"/>
        <w:rPr>
          <w:rFonts w:ascii="Arial" w:hAnsi="Arial" w:cs="Arial"/>
          <w:color w:val="000000"/>
        </w:rPr>
      </w:pPr>
      <w:r>
        <w:rPr>
          <w:rFonts w:ascii="Arial" w:hAnsi="Arial" w:cs="Arial"/>
          <w:color w:val="000000"/>
        </w:rPr>
        <w:lastRenderedPageBreak/>
        <w:t>Jede der drei Stakeholder-Gruppen benennt Koordinator/innen, um die MSG-Mitglieder im Umsetzungsprozess zu unterstützen. Koordinator/innen fassen bspw. Standpunkte der jeweiligen Stakeholdergruppe zusammen und vertreten diese in Vorabstimmungen oder Arbeitsgruppen. Die Koordinator/innen unterstützen so zudem die Vorbereitung von MSG-Beschlüssen.</w:t>
      </w:r>
      <w:r w:rsidR="00A25BF8">
        <w:rPr>
          <w:rFonts w:ascii="Arial" w:hAnsi="Arial" w:cs="Arial"/>
          <w:color w:val="000000"/>
        </w:rPr>
        <w:t xml:space="preserve"> In Beschlussverfahren im schriftlichen Umlauf stellen die Koordinator/innen sicher, dass alle Beiträge der jeweiligen MSG-Mitglieder in den Entscheidungsprozess mit einfließen.</w:t>
      </w:r>
    </w:p>
    <w:p w14:paraId="588E217B" w14:textId="37EA664F" w:rsidR="002E78AB" w:rsidRDefault="002E78AB" w:rsidP="00A93302">
      <w:pPr>
        <w:pStyle w:val="Listenabsatz1"/>
        <w:numPr>
          <w:ilvl w:val="0"/>
          <w:numId w:val="2"/>
        </w:numPr>
        <w:spacing w:before="120" w:after="120"/>
        <w:ind w:left="567" w:hanging="567"/>
        <w:jc w:val="both"/>
        <w:rPr>
          <w:rFonts w:ascii="Arial" w:hAnsi="Arial" w:cs="Arial"/>
          <w:color w:val="000000"/>
        </w:rPr>
      </w:pPr>
      <w:r>
        <w:rPr>
          <w:rFonts w:ascii="Arial" w:hAnsi="Arial" w:cs="Arial"/>
          <w:color w:val="000000"/>
        </w:rPr>
        <w:t>Sachverständige können in beratender Funktion bzw. zu informativen Zwecken nach Zustimmung der MSG</w:t>
      </w:r>
      <w:r w:rsidR="004526F0">
        <w:rPr>
          <w:rFonts w:ascii="Arial" w:hAnsi="Arial" w:cs="Arial"/>
          <w:color w:val="000000"/>
        </w:rPr>
        <w:t>-</w:t>
      </w:r>
      <w:r>
        <w:rPr>
          <w:rFonts w:ascii="Arial" w:hAnsi="Arial" w:cs="Arial"/>
          <w:color w:val="000000"/>
        </w:rPr>
        <w:t>Mitglieder zu den Sitzungen eingeladen werden. Rederecht kann durch den Vorsitz verliehen werden. Zusätzlich können Beobachterinnen und Beobachter ohne Rede- und Stimmrecht an den Sitzungen teilnehmen. Der Vorsitz muss bis spätestens zehn (10) Tage vor der betreffenden Sitzung über zusätzlich geladene Teilnehmer</w:t>
      </w:r>
      <w:r w:rsidR="00092E84">
        <w:rPr>
          <w:rFonts w:ascii="Arial" w:hAnsi="Arial" w:cs="Arial"/>
          <w:color w:val="000000"/>
        </w:rPr>
        <w:t>innen und Teilnehmer</w:t>
      </w:r>
      <w:r>
        <w:rPr>
          <w:rFonts w:ascii="Arial" w:hAnsi="Arial" w:cs="Arial"/>
          <w:color w:val="000000"/>
        </w:rPr>
        <w:t xml:space="preserve"> informiert werden.</w:t>
      </w:r>
    </w:p>
    <w:p w14:paraId="5FA75A20" w14:textId="1AD8B9A8" w:rsidR="002E78AB" w:rsidRDefault="002E78AB" w:rsidP="00A93302">
      <w:pPr>
        <w:pStyle w:val="Listenabsatz1"/>
        <w:numPr>
          <w:ilvl w:val="0"/>
          <w:numId w:val="2"/>
        </w:numPr>
        <w:spacing w:before="120" w:after="120"/>
        <w:ind w:left="567" w:hanging="567"/>
        <w:jc w:val="both"/>
        <w:rPr>
          <w:rFonts w:ascii="Arial" w:hAnsi="Arial" w:cs="Arial"/>
          <w:iCs/>
          <w:color w:val="000000"/>
        </w:rPr>
      </w:pPr>
      <w:r>
        <w:rPr>
          <w:rFonts w:ascii="Arial" w:hAnsi="Arial" w:cs="Arial"/>
          <w:color w:val="000000"/>
        </w:rPr>
        <w:t>Ein ständiger Beobachtersitz steht dem Internationalen EITI</w:t>
      </w:r>
      <w:r w:rsidR="00F369E0">
        <w:rPr>
          <w:rFonts w:ascii="Arial" w:hAnsi="Arial" w:cs="Arial"/>
          <w:color w:val="000000"/>
        </w:rPr>
        <w:t>-</w:t>
      </w:r>
      <w:r>
        <w:rPr>
          <w:rFonts w:ascii="Arial" w:hAnsi="Arial" w:cs="Arial"/>
          <w:color w:val="000000"/>
        </w:rPr>
        <w:t>Sekretariat zu.</w:t>
      </w:r>
    </w:p>
    <w:p w14:paraId="323973CA" w14:textId="0EBD2F57" w:rsidR="002E78AB" w:rsidRDefault="002E78AB" w:rsidP="00A93302">
      <w:pPr>
        <w:pStyle w:val="Listenabsatz1"/>
        <w:numPr>
          <w:ilvl w:val="0"/>
          <w:numId w:val="2"/>
        </w:numPr>
        <w:spacing w:before="120" w:after="120"/>
        <w:ind w:left="567" w:hanging="567"/>
        <w:jc w:val="both"/>
        <w:rPr>
          <w:rFonts w:ascii="Arial" w:hAnsi="Arial" w:cs="Arial"/>
          <w:iCs/>
          <w:color w:val="000000"/>
        </w:rPr>
      </w:pPr>
      <w:r>
        <w:rPr>
          <w:rFonts w:ascii="Arial" w:hAnsi="Arial" w:cs="Arial"/>
          <w:iCs/>
          <w:color w:val="000000"/>
        </w:rPr>
        <w:t xml:space="preserve">Die Geschäftsführung der MSG wird dem D-EITI-Sekretariat übertragen, das sich bei der Geschäftsführung mit dem Vorsitz, sowie den </w:t>
      </w:r>
      <w:r w:rsidR="00092E84">
        <w:rPr>
          <w:rFonts w:ascii="Arial" w:hAnsi="Arial" w:cs="Arial"/>
          <w:iCs/>
          <w:color w:val="000000"/>
        </w:rPr>
        <w:t xml:space="preserve">Sprecherinnen und </w:t>
      </w:r>
      <w:r>
        <w:rPr>
          <w:rFonts w:ascii="Arial" w:hAnsi="Arial" w:cs="Arial"/>
          <w:iCs/>
          <w:color w:val="000000"/>
        </w:rPr>
        <w:t xml:space="preserve">Sprechern </w:t>
      </w:r>
      <w:r w:rsidR="00A25BF8">
        <w:rPr>
          <w:rFonts w:ascii="Arial" w:hAnsi="Arial" w:cs="Arial"/>
          <w:iCs/>
          <w:color w:val="000000"/>
        </w:rPr>
        <w:t xml:space="preserve">bzw. den Koordinatorinnen und Koordinatoren </w:t>
      </w:r>
      <w:r>
        <w:rPr>
          <w:rFonts w:ascii="Arial" w:hAnsi="Arial" w:cs="Arial"/>
          <w:iCs/>
          <w:color w:val="000000"/>
        </w:rPr>
        <w:t>der Stakeholder-Gruppen abstimmt, allen Stakeholder-Gruppen gleichberechtigt zur Verfügung steht und an den Sitzungen der MSG ohne Stimmrecht teilnimmt. Zu den Aufgaben der Geschäftsführung zählt unter anderem die Planung der Sitzungen.</w:t>
      </w:r>
    </w:p>
    <w:p w14:paraId="611BD104" w14:textId="77777777" w:rsidR="002E78AB" w:rsidRDefault="002E78AB" w:rsidP="00A93302">
      <w:pPr>
        <w:pStyle w:val="Listenabsatz1"/>
        <w:numPr>
          <w:ilvl w:val="0"/>
          <w:numId w:val="2"/>
        </w:numPr>
        <w:spacing w:before="120" w:after="120"/>
        <w:ind w:left="567" w:hanging="567"/>
        <w:jc w:val="both"/>
        <w:rPr>
          <w:rFonts w:ascii="Arial" w:hAnsi="Arial" w:cs="Arial"/>
          <w:color w:val="000000"/>
        </w:rPr>
      </w:pPr>
      <w:r>
        <w:rPr>
          <w:rFonts w:ascii="Arial" w:hAnsi="Arial" w:cs="Arial"/>
          <w:iCs/>
          <w:color w:val="000000"/>
        </w:rPr>
        <w:t xml:space="preserve">Beschlüsse, Arbeitsergebnisse und weitere Dokumente der MSG werden grundsätzlich elektronisch bereitgestellt. Sämtliche Dokumente hat das D-EITI-Sekretariat für die MSG so vorzuhalten, dass sie jederzeit elektronisch abrufbar sind. </w:t>
      </w:r>
    </w:p>
    <w:p w14:paraId="032E6EFB" w14:textId="77777777" w:rsidR="002E78AB" w:rsidRDefault="002E78AB" w:rsidP="00A93302">
      <w:pPr>
        <w:pStyle w:val="Listenabsatz1"/>
        <w:numPr>
          <w:ilvl w:val="0"/>
          <w:numId w:val="2"/>
        </w:numPr>
        <w:spacing w:before="120" w:after="120"/>
        <w:ind w:left="567" w:hanging="567"/>
        <w:jc w:val="both"/>
        <w:rPr>
          <w:rFonts w:ascii="Arial" w:hAnsi="Arial" w:cs="Arial"/>
          <w:color w:val="000000"/>
        </w:rPr>
      </w:pPr>
      <w:r>
        <w:rPr>
          <w:rFonts w:ascii="Arial" w:hAnsi="Arial" w:cs="Arial"/>
          <w:color w:val="000000"/>
        </w:rPr>
        <w:t>Der Vorsitz unterrichtet die MSG-Mitglieder regelmäßig über Angelegenheiten aus der laufenden Geschäftsführung. Der Vorsitz kann dem D-EITI Sekretariat das Wort zur Berichterstattung erteilen.</w:t>
      </w:r>
      <w:r w:rsidR="00E54B1C">
        <w:rPr>
          <w:rFonts w:ascii="Arial" w:hAnsi="Arial" w:cs="Arial"/>
          <w:color w:val="000000"/>
        </w:rPr>
        <w:t xml:space="preserve">  </w:t>
      </w:r>
    </w:p>
    <w:p w14:paraId="27645592" w14:textId="77777777" w:rsidR="00092E84" w:rsidRPr="00092E84" w:rsidRDefault="00092E84" w:rsidP="00A93302">
      <w:pPr>
        <w:pStyle w:val="Listenabsatz1"/>
        <w:numPr>
          <w:ilvl w:val="0"/>
          <w:numId w:val="2"/>
        </w:numPr>
        <w:spacing w:before="120" w:after="120"/>
        <w:ind w:left="567" w:hanging="567"/>
        <w:jc w:val="both"/>
        <w:rPr>
          <w:rFonts w:ascii="Arial" w:hAnsi="Arial" w:cs="Arial"/>
          <w:color w:val="000000"/>
        </w:rPr>
      </w:pPr>
      <w:r w:rsidRPr="00092E84">
        <w:rPr>
          <w:rFonts w:ascii="Arial" w:hAnsi="Arial" w:cs="Arial"/>
          <w:color w:val="000000"/>
        </w:rPr>
        <w:t>Werden für die Teilnahme an EITI-Sitzungen Sitzungsgelder oder andere Zahlungen an die Mitglieder der Multi-Stakeholder-Gruppe fällig, dann wird diese Praxis transparent gemacht und gewährleistet, dass es nicht zu Interessenkonflikten führt.</w:t>
      </w:r>
    </w:p>
    <w:p w14:paraId="4F339955" w14:textId="0EE3A2FB" w:rsidR="002E78AB" w:rsidRPr="00FD15AB" w:rsidRDefault="006051D2" w:rsidP="00FD15AB">
      <w:pPr>
        <w:pStyle w:val="Listenabsatz1"/>
        <w:numPr>
          <w:ilvl w:val="0"/>
          <w:numId w:val="2"/>
        </w:numPr>
        <w:spacing w:before="120" w:after="120"/>
        <w:ind w:left="567" w:hanging="567"/>
        <w:jc w:val="both"/>
        <w:rPr>
          <w:rFonts w:ascii="Arial" w:hAnsi="Arial" w:cs="Arial"/>
          <w:color w:val="000000"/>
        </w:rPr>
      </w:pPr>
      <w:r w:rsidRPr="003D14FC">
        <w:rPr>
          <w:rFonts w:ascii="Arial" w:hAnsi="Arial" w:cs="Arial"/>
          <w:color w:val="000000"/>
        </w:rPr>
        <w:t>Zur Gewährleistung von Kontinuität und eine</w:t>
      </w:r>
      <w:r w:rsidR="00F369E0" w:rsidRPr="003D14FC">
        <w:rPr>
          <w:rFonts w:ascii="Arial" w:hAnsi="Arial" w:cs="Arial"/>
          <w:color w:val="000000"/>
        </w:rPr>
        <w:t>m gleichen Wissensstand in der MSG zur Umsetzung der D-EITI</w:t>
      </w:r>
      <w:r w:rsidRPr="003D14FC">
        <w:rPr>
          <w:rFonts w:ascii="Arial" w:hAnsi="Arial" w:cs="Arial"/>
          <w:color w:val="000000"/>
        </w:rPr>
        <w:t xml:space="preserve"> hält sich jedes MSG</w:t>
      </w:r>
      <w:r w:rsidR="003D14FC">
        <w:rPr>
          <w:rFonts w:ascii="Arial" w:hAnsi="Arial" w:cs="Arial"/>
          <w:color w:val="000000"/>
        </w:rPr>
        <w:t>-</w:t>
      </w:r>
      <w:r w:rsidRPr="003D14FC">
        <w:rPr>
          <w:rFonts w:ascii="Arial" w:hAnsi="Arial" w:cs="Arial"/>
          <w:color w:val="000000"/>
        </w:rPr>
        <w:t>Mitglied informiert und setzt sich inhaltlich mit den Vorgaben der EITI auseinander. Nimmt ein MSG</w:t>
      </w:r>
      <w:r w:rsidR="004526F0">
        <w:rPr>
          <w:rFonts w:ascii="Arial" w:hAnsi="Arial" w:cs="Arial"/>
          <w:color w:val="000000"/>
        </w:rPr>
        <w:t>-</w:t>
      </w:r>
      <w:r w:rsidRPr="003D14FC">
        <w:rPr>
          <w:rFonts w:ascii="Arial" w:hAnsi="Arial" w:cs="Arial"/>
          <w:color w:val="000000"/>
        </w:rPr>
        <w:t>Mitglied an drei aufeinander folgenden Sitzungen nicht teil, kann</w:t>
      </w:r>
      <w:r w:rsidR="00A7182B" w:rsidRPr="003D14FC">
        <w:rPr>
          <w:rFonts w:ascii="Arial" w:hAnsi="Arial" w:cs="Arial"/>
          <w:color w:val="000000"/>
        </w:rPr>
        <w:t xml:space="preserve"> die entsprechende Stakeholder</w:t>
      </w:r>
      <w:r w:rsidR="00F369E0" w:rsidRPr="003D14FC">
        <w:rPr>
          <w:rFonts w:ascii="Arial" w:hAnsi="Arial" w:cs="Arial"/>
          <w:color w:val="000000"/>
        </w:rPr>
        <w:t>-G</w:t>
      </w:r>
      <w:r w:rsidR="00A7182B" w:rsidRPr="003D14FC">
        <w:rPr>
          <w:rFonts w:ascii="Arial" w:hAnsi="Arial" w:cs="Arial"/>
          <w:color w:val="000000"/>
        </w:rPr>
        <w:t>ruppe in Absprache mit dem Vorsitz beschließen</w:t>
      </w:r>
      <w:r w:rsidR="00846DED">
        <w:rPr>
          <w:rFonts w:ascii="Arial" w:hAnsi="Arial" w:cs="Arial"/>
          <w:color w:val="000000"/>
        </w:rPr>
        <w:t>,</w:t>
      </w:r>
      <w:r w:rsidRPr="003D14FC">
        <w:rPr>
          <w:rFonts w:ascii="Arial" w:hAnsi="Arial" w:cs="Arial"/>
          <w:color w:val="000000"/>
        </w:rPr>
        <w:t xml:space="preserve"> das MSG-Mitglied zu ersetzen.</w:t>
      </w:r>
    </w:p>
    <w:p w14:paraId="098E33D0" w14:textId="77777777" w:rsidR="002E78AB" w:rsidRPr="00FD15AB" w:rsidRDefault="002E78AB" w:rsidP="00FD15AB">
      <w:pPr>
        <w:pStyle w:val="berschrift1"/>
        <w:jc w:val="both"/>
        <w:rPr>
          <w:color w:val="000000"/>
        </w:rPr>
      </w:pPr>
      <w:bookmarkStart w:id="5" w:name="_Toc409707612"/>
      <w:bookmarkStart w:id="6" w:name="_Toc55647075"/>
      <w:r w:rsidRPr="00FD15AB">
        <w:rPr>
          <w:color w:val="000000"/>
        </w:rPr>
        <w:t>§ 3 Sitzungen</w:t>
      </w:r>
      <w:bookmarkEnd w:id="5"/>
      <w:bookmarkEnd w:id="6"/>
    </w:p>
    <w:p w14:paraId="2F66758D" w14:textId="6D3128B9" w:rsidR="002E78AB" w:rsidRDefault="002E78AB" w:rsidP="005A61E9">
      <w:pPr>
        <w:pStyle w:val="Listenabsatz1"/>
        <w:numPr>
          <w:ilvl w:val="0"/>
          <w:numId w:val="5"/>
        </w:numPr>
        <w:spacing w:before="120" w:after="120"/>
        <w:ind w:left="567" w:hanging="567"/>
        <w:jc w:val="both"/>
        <w:rPr>
          <w:rFonts w:ascii="Arial" w:hAnsi="Arial" w:cs="Arial"/>
          <w:color w:val="000000"/>
        </w:rPr>
      </w:pPr>
      <w:r>
        <w:rPr>
          <w:rFonts w:ascii="Arial" w:hAnsi="Arial" w:cs="Arial"/>
          <w:iCs/>
          <w:color w:val="000000"/>
        </w:rPr>
        <w:t xml:space="preserve">Der Vorsitz bestimmt im Einvernehmen </w:t>
      </w:r>
      <w:r w:rsidR="00F369E0">
        <w:rPr>
          <w:rFonts w:ascii="Arial" w:hAnsi="Arial" w:cs="Arial"/>
          <w:iCs/>
          <w:color w:val="000000"/>
        </w:rPr>
        <w:t xml:space="preserve">mit den </w:t>
      </w:r>
      <w:r>
        <w:rPr>
          <w:rFonts w:ascii="Arial" w:hAnsi="Arial" w:cs="Arial"/>
          <w:iCs/>
          <w:color w:val="000000"/>
        </w:rPr>
        <w:t>MSG-Mitglieder</w:t>
      </w:r>
      <w:r w:rsidR="00F369E0">
        <w:rPr>
          <w:rFonts w:ascii="Arial" w:hAnsi="Arial" w:cs="Arial"/>
          <w:iCs/>
          <w:color w:val="000000"/>
        </w:rPr>
        <w:t>n</w:t>
      </w:r>
      <w:r>
        <w:rPr>
          <w:rFonts w:ascii="Arial" w:hAnsi="Arial" w:cs="Arial"/>
          <w:iCs/>
          <w:color w:val="000000"/>
        </w:rPr>
        <w:t xml:space="preserve"> Ort und Zeitpunkt der Sitzungen. Er stellt in Abstimmung mit den übrigen MSG-Mitgliedern</w:t>
      </w:r>
      <w:r w:rsidR="004526F0">
        <w:rPr>
          <w:rFonts w:ascii="Arial" w:hAnsi="Arial" w:cs="Arial"/>
          <w:iCs/>
          <w:color w:val="000000"/>
        </w:rPr>
        <w:t xml:space="preserve"> über die Koordinator/innen der Stakeholdergruppen</w:t>
      </w:r>
      <w:r>
        <w:rPr>
          <w:rFonts w:ascii="Arial" w:hAnsi="Arial" w:cs="Arial"/>
          <w:iCs/>
          <w:color w:val="000000"/>
        </w:rPr>
        <w:t xml:space="preserve"> die Tagesordnung auf, welche spätestens </w:t>
      </w:r>
      <w:r w:rsidR="00A25BF8">
        <w:rPr>
          <w:rFonts w:ascii="Arial" w:hAnsi="Arial" w:cs="Arial"/>
          <w:iCs/>
          <w:color w:val="000000"/>
        </w:rPr>
        <w:t xml:space="preserve">drei </w:t>
      </w:r>
      <w:r>
        <w:rPr>
          <w:rFonts w:ascii="Arial" w:hAnsi="Arial" w:cs="Arial"/>
          <w:iCs/>
          <w:color w:val="000000"/>
        </w:rPr>
        <w:t>(</w:t>
      </w:r>
      <w:r w:rsidR="00A25BF8">
        <w:rPr>
          <w:rFonts w:ascii="Arial" w:hAnsi="Arial" w:cs="Arial"/>
          <w:iCs/>
          <w:color w:val="000000"/>
        </w:rPr>
        <w:t>3</w:t>
      </w:r>
      <w:r>
        <w:rPr>
          <w:rFonts w:ascii="Arial" w:hAnsi="Arial" w:cs="Arial"/>
          <w:iCs/>
          <w:color w:val="000000"/>
        </w:rPr>
        <w:t xml:space="preserve">) Wochen vor der jeweiligen Sitzung versandt wird. Beschlussvorschläge werden durch das D-EITI-Sekretariat </w:t>
      </w:r>
      <w:r w:rsidR="00A7182B">
        <w:rPr>
          <w:rFonts w:ascii="Arial" w:hAnsi="Arial" w:cs="Arial"/>
          <w:iCs/>
          <w:color w:val="000000"/>
        </w:rPr>
        <w:t>spätestens</w:t>
      </w:r>
      <w:r>
        <w:rPr>
          <w:rFonts w:ascii="Arial" w:hAnsi="Arial" w:cs="Arial"/>
          <w:iCs/>
          <w:color w:val="000000"/>
        </w:rPr>
        <w:t xml:space="preserve"> </w:t>
      </w:r>
      <w:r w:rsidR="00A7182B">
        <w:rPr>
          <w:rFonts w:ascii="Arial" w:hAnsi="Arial" w:cs="Arial"/>
          <w:iCs/>
          <w:color w:val="000000"/>
        </w:rPr>
        <w:t xml:space="preserve">drei </w:t>
      </w:r>
      <w:r>
        <w:rPr>
          <w:rFonts w:ascii="Arial" w:hAnsi="Arial" w:cs="Arial"/>
          <w:iCs/>
          <w:color w:val="000000"/>
        </w:rPr>
        <w:t>(</w:t>
      </w:r>
      <w:r w:rsidR="00A25BF8">
        <w:rPr>
          <w:rFonts w:ascii="Arial" w:hAnsi="Arial" w:cs="Arial"/>
          <w:iCs/>
          <w:color w:val="000000"/>
        </w:rPr>
        <w:t>2</w:t>
      </w:r>
      <w:r>
        <w:rPr>
          <w:rFonts w:ascii="Arial" w:hAnsi="Arial" w:cs="Arial"/>
          <w:iCs/>
          <w:color w:val="000000"/>
        </w:rPr>
        <w:t xml:space="preserve">) Wochen vor der jeweiligen Sitzung den MSG-Mitgliedern zugeleitet. Die MSG-Mitglieder sind angehalten, sich innerhalb ihrer Stakeholder-Gruppen zu den Beschlussvorschlägen abzustimmen. </w:t>
      </w:r>
    </w:p>
    <w:p w14:paraId="08B8648A" w14:textId="77777777" w:rsidR="002E78AB" w:rsidRDefault="002E78AB" w:rsidP="005A61E9">
      <w:pPr>
        <w:pStyle w:val="Listenabsatz1"/>
        <w:numPr>
          <w:ilvl w:val="0"/>
          <w:numId w:val="5"/>
        </w:numPr>
        <w:ind w:left="567" w:hanging="567"/>
        <w:jc w:val="both"/>
        <w:rPr>
          <w:rFonts w:ascii="Arial" w:hAnsi="Arial" w:cs="Arial"/>
          <w:color w:val="000000"/>
        </w:rPr>
      </w:pPr>
      <w:r>
        <w:rPr>
          <w:rFonts w:ascii="Arial" w:hAnsi="Arial" w:cs="Arial"/>
          <w:color w:val="000000"/>
        </w:rPr>
        <w:lastRenderedPageBreak/>
        <w:t xml:space="preserve">Der Vorsitz leitet die Sitzung. Der Vorsitz kann im Einvernehmen mit den MSG-Mitgliedern eine Moderatorin oder einen Moderator zur Durchführung einer MSG-Sitzung bestimmen. </w:t>
      </w:r>
    </w:p>
    <w:p w14:paraId="24F5AC18" w14:textId="48F7F050" w:rsidR="002E78AB" w:rsidRDefault="003D14FC" w:rsidP="005A61E9">
      <w:pPr>
        <w:pStyle w:val="Listenabsatz1"/>
        <w:numPr>
          <w:ilvl w:val="0"/>
          <w:numId w:val="5"/>
        </w:numPr>
        <w:spacing w:before="120" w:after="120"/>
        <w:ind w:left="567" w:hanging="567"/>
        <w:jc w:val="both"/>
        <w:rPr>
          <w:rFonts w:ascii="Arial" w:hAnsi="Arial" w:cs="Arial"/>
          <w:color w:val="000000"/>
        </w:rPr>
      </w:pPr>
      <w:r>
        <w:rPr>
          <w:rFonts w:ascii="Arial" w:hAnsi="Arial" w:cs="Arial"/>
          <w:color w:val="000000"/>
        </w:rPr>
        <w:t>D</w:t>
      </w:r>
      <w:r w:rsidR="002E78AB">
        <w:rPr>
          <w:rFonts w:ascii="Arial" w:hAnsi="Arial" w:cs="Arial"/>
          <w:color w:val="000000"/>
        </w:rPr>
        <w:t xml:space="preserve">ie MSG </w:t>
      </w:r>
      <w:r>
        <w:rPr>
          <w:rFonts w:ascii="Arial" w:hAnsi="Arial" w:cs="Arial"/>
          <w:color w:val="000000"/>
        </w:rPr>
        <w:t xml:space="preserve">legt </w:t>
      </w:r>
      <w:r w:rsidR="002E78AB">
        <w:rPr>
          <w:rFonts w:ascii="Arial" w:hAnsi="Arial" w:cs="Arial"/>
          <w:color w:val="000000"/>
        </w:rPr>
        <w:t>den Turnus ihrer Sitzungen nach Bedarf fest.</w:t>
      </w:r>
    </w:p>
    <w:p w14:paraId="7FD7E3C4" w14:textId="0750BA90" w:rsidR="002E78AB" w:rsidRPr="002F08A5" w:rsidRDefault="002E78AB" w:rsidP="005A61E9">
      <w:pPr>
        <w:pStyle w:val="Listenabsatz1"/>
        <w:numPr>
          <w:ilvl w:val="0"/>
          <w:numId w:val="5"/>
        </w:numPr>
        <w:spacing w:before="120" w:after="120"/>
        <w:ind w:left="567" w:hanging="567"/>
        <w:jc w:val="both"/>
        <w:rPr>
          <w:rFonts w:ascii="Arial" w:hAnsi="Arial" w:cs="Arial"/>
          <w:iCs/>
          <w:color w:val="000000"/>
        </w:rPr>
      </w:pPr>
      <w:r w:rsidRPr="002F08A5">
        <w:rPr>
          <w:rFonts w:ascii="Arial" w:hAnsi="Arial" w:cs="Arial"/>
          <w:color w:val="000000"/>
        </w:rPr>
        <w:t xml:space="preserve">Die MSG-Mitglieder treten für eine Sitzung in der Regel persönlich zusammen. </w:t>
      </w:r>
      <w:r w:rsidR="00FE7708" w:rsidRPr="002F08A5">
        <w:rPr>
          <w:rFonts w:ascii="Arial" w:hAnsi="Arial" w:cs="Arial"/>
          <w:color w:val="000000"/>
        </w:rPr>
        <w:t>An den Sitzungen, einschließlich der Beratung und Beschlussfassung, können einzelne oder alle MSG-Mitglieder auch im Wege elektronischer Kommunikation teilnehmen.</w:t>
      </w:r>
      <w:r w:rsidRPr="002F08A5">
        <w:rPr>
          <w:rFonts w:ascii="Arial" w:hAnsi="Arial" w:cs="Arial"/>
          <w:color w:val="000000"/>
        </w:rPr>
        <w:t xml:space="preserve"> Der Vorsitz kann im Einvernehmen mit der MSG im Einzelfall vereinbaren, dass Beschlüsse auch im schriftlichen und elektronischen Beschlussverfahren außerhalb der Sitzungen getroffen werden können. </w:t>
      </w:r>
    </w:p>
    <w:p w14:paraId="1849C83F" w14:textId="77777777" w:rsidR="002E78AB" w:rsidRDefault="002E78AB" w:rsidP="005A61E9">
      <w:pPr>
        <w:pStyle w:val="Listenabsatz1"/>
        <w:numPr>
          <w:ilvl w:val="0"/>
          <w:numId w:val="5"/>
        </w:numPr>
        <w:spacing w:before="120" w:after="120"/>
        <w:ind w:left="567" w:hanging="567"/>
        <w:jc w:val="both"/>
        <w:rPr>
          <w:rFonts w:ascii="Arial" w:hAnsi="Arial" w:cs="Arial"/>
          <w:color w:val="000000"/>
        </w:rPr>
      </w:pPr>
      <w:r>
        <w:rPr>
          <w:rFonts w:ascii="Arial" w:hAnsi="Arial" w:cs="Arial"/>
          <w:iCs/>
          <w:color w:val="000000"/>
        </w:rPr>
        <w:t xml:space="preserve">Der Vorsitz kann jederzeit oder auf Antrag von mindestens fünf (5) Mitgliedern aus mindestens zwei (2) Stakeholder-Gruppen außerordentliche Sitzungen einberufen. Über die Ergebnisse der MSG- und Arbeitsgruppensitzungen sind durch das D-EITI-Sekretariat Sitzungsprotokolle zu fertigen und vom Vorsitz zu bestätigen. </w:t>
      </w:r>
      <w:r>
        <w:rPr>
          <w:rFonts w:ascii="Arial" w:hAnsi="Arial" w:cs="Arial"/>
          <w:color w:val="000000"/>
        </w:rPr>
        <w:t>Diese sind im Nachgang zur jeweiligen Sitzung den MSG-Mitgliedern zeitnah elektronisch vorzulegen und werden nach der Annahme durch die MSG-Mitglieder baldmöglichst auf der D-EITI-Webseite öffentlich zugänglich gemacht. Die Annahme des Protokolls folgt den Bestimmungen des § 5 zur Beschlussfassung.</w:t>
      </w:r>
    </w:p>
    <w:p w14:paraId="6193DE0B" w14:textId="6E140C18" w:rsidR="002E78AB" w:rsidRDefault="002E78AB" w:rsidP="005A61E9">
      <w:pPr>
        <w:pStyle w:val="Listenabsatz1"/>
        <w:numPr>
          <w:ilvl w:val="0"/>
          <w:numId w:val="5"/>
        </w:numPr>
        <w:spacing w:before="120" w:after="120"/>
        <w:ind w:left="567" w:hanging="567"/>
        <w:jc w:val="both"/>
        <w:rPr>
          <w:rFonts w:ascii="Arial" w:hAnsi="Arial" w:cs="Arial"/>
          <w:color w:val="000000"/>
        </w:rPr>
      </w:pPr>
      <w:r>
        <w:rPr>
          <w:rFonts w:ascii="Arial" w:hAnsi="Arial" w:cs="Arial"/>
          <w:color w:val="000000"/>
        </w:rPr>
        <w:t xml:space="preserve">Gemäß </w:t>
      </w:r>
      <w:r>
        <w:rPr>
          <w:rFonts w:ascii="Arial" w:hAnsi="Arial" w:cs="Arial"/>
          <w:i/>
          <w:color w:val="000000"/>
        </w:rPr>
        <w:t xml:space="preserve">Chatham House Rules </w:t>
      </w:r>
      <w:r>
        <w:rPr>
          <w:rFonts w:ascii="Arial" w:hAnsi="Arial" w:cs="Arial"/>
          <w:color w:val="000000"/>
        </w:rPr>
        <w:t>werden</w:t>
      </w:r>
      <w:r>
        <w:rPr>
          <w:rFonts w:ascii="Arial" w:hAnsi="Arial" w:cs="Arial"/>
          <w:i/>
          <w:color w:val="000000"/>
        </w:rPr>
        <w:t xml:space="preserve"> </w:t>
      </w:r>
      <w:r>
        <w:rPr>
          <w:rFonts w:ascii="Arial" w:hAnsi="Arial" w:cs="Arial"/>
          <w:color w:val="000000"/>
        </w:rPr>
        <w:t xml:space="preserve">Ansichten, die in der Sitzung zum Ausdruck gebracht wurden, </w:t>
      </w:r>
      <w:r w:rsidR="00A25BF8">
        <w:rPr>
          <w:rFonts w:ascii="Arial" w:hAnsi="Arial" w:cs="Arial"/>
          <w:color w:val="000000"/>
        </w:rPr>
        <w:t xml:space="preserve">in den Protokollen zu den MSG-Sitzungen </w:t>
      </w:r>
      <w:r>
        <w:rPr>
          <w:rFonts w:ascii="Arial" w:hAnsi="Arial" w:cs="Arial"/>
          <w:color w:val="000000"/>
        </w:rPr>
        <w:t xml:space="preserve">nicht einzelnen Mitgliedern </w:t>
      </w:r>
      <w:r w:rsidR="00641980">
        <w:rPr>
          <w:rFonts w:ascii="Arial" w:hAnsi="Arial" w:cs="Arial"/>
          <w:color w:val="000000"/>
        </w:rPr>
        <w:t>zugeordnet.</w:t>
      </w:r>
      <w:r>
        <w:rPr>
          <w:rFonts w:ascii="Arial" w:hAnsi="Arial" w:cs="Arial"/>
          <w:color w:val="000000"/>
        </w:rPr>
        <w:t xml:space="preserve"> Ausnahmen sind auf Wunsch der Beteiligten möglich. Alle Anwesenden verpflichten sich dazu, auch außerhalb der Sitzungen die </w:t>
      </w:r>
      <w:r w:rsidRPr="00A25BF8">
        <w:rPr>
          <w:rFonts w:ascii="Arial" w:hAnsi="Arial" w:cs="Arial"/>
          <w:i/>
          <w:iCs/>
          <w:color w:val="000000"/>
        </w:rPr>
        <w:t>Chatham House Rules</w:t>
      </w:r>
      <w:r>
        <w:rPr>
          <w:rFonts w:ascii="Arial" w:hAnsi="Arial" w:cs="Arial"/>
          <w:color w:val="000000"/>
        </w:rPr>
        <w:t xml:space="preserve"> einzuhalten. Jedes MSG-Mitglied muss unterschiedliche Ansichten, die im Verlauf der MSG- oder Gremienarbeit geäußert werden, respektieren. </w:t>
      </w:r>
    </w:p>
    <w:p w14:paraId="00BA3EF1" w14:textId="77777777" w:rsidR="002E78AB" w:rsidRDefault="002E78AB" w:rsidP="005A61E9">
      <w:pPr>
        <w:pStyle w:val="Listenabsatz1"/>
        <w:numPr>
          <w:ilvl w:val="0"/>
          <w:numId w:val="5"/>
        </w:numPr>
        <w:ind w:left="567" w:hanging="567"/>
        <w:jc w:val="both"/>
        <w:rPr>
          <w:color w:val="000000"/>
        </w:rPr>
      </w:pPr>
      <w:r>
        <w:rPr>
          <w:rFonts w:ascii="Arial" w:hAnsi="Arial" w:cs="Arial"/>
          <w:color w:val="000000"/>
        </w:rPr>
        <w:t>Einem Antrag auf kurzzeitige Sitzungsunterbrechung zum Zweck der Gruppenberatung ist jederzeit stattzugeben. Über die Dauer der Sitzungsunterbrechung ist im Einzelfall durch den Vorsitz zu entscheiden.</w:t>
      </w:r>
    </w:p>
    <w:p w14:paraId="040D4918" w14:textId="77777777" w:rsidR="002E78AB" w:rsidRDefault="002E78AB" w:rsidP="00092E84">
      <w:pPr>
        <w:pStyle w:val="berschrift1"/>
        <w:jc w:val="both"/>
        <w:rPr>
          <w:rFonts w:ascii="Arial" w:hAnsi="Arial" w:cs="Arial"/>
          <w:color w:val="000000"/>
        </w:rPr>
      </w:pPr>
      <w:bookmarkStart w:id="7" w:name="_Toc409707613"/>
      <w:bookmarkStart w:id="8" w:name="_Toc55647076"/>
      <w:r>
        <w:rPr>
          <w:color w:val="000000"/>
        </w:rPr>
        <w:t>§ 4 Arbeitsgruppen</w:t>
      </w:r>
      <w:bookmarkEnd w:id="7"/>
      <w:bookmarkEnd w:id="8"/>
      <w:r>
        <w:rPr>
          <w:color w:val="000000"/>
        </w:rPr>
        <w:t xml:space="preserve"> </w:t>
      </w:r>
    </w:p>
    <w:p w14:paraId="0CB9D146" w14:textId="77777777" w:rsidR="002E78AB" w:rsidRDefault="002E78AB" w:rsidP="00A93302">
      <w:pPr>
        <w:pStyle w:val="Listenabsatz1"/>
        <w:numPr>
          <w:ilvl w:val="0"/>
          <w:numId w:val="7"/>
        </w:numPr>
        <w:spacing w:before="120" w:after="120"/>
        <w:ind w:left="567" w:hanging="567"/>
        <w:jc w:val="both"/>
        <w:rPr>
          <w:rFonts w:ascii="Arial" w:hAnsi="Arial" w:cs="Arial"/>
          <w:color w:val="000000"/>
        </w:rPr>
      </w:pPr>
      <w:r>
        <w:rPr>
          <w:rFonts w:ascii="Arial" w:hAnsi="Arial" w:cs="Arial"/>
          <w:color w:val="000000"/>
        </w:rPr>
        <w:t xml:space="preserve">Die MSG kann für spezielle Aufgaben und Themen Arbeitsgruppen einrichten. Jede Arbeitsgruppe bestimmt ein MSG-Mitglied zu ihrem Vorsitz. </w:t>
      </w:r>
    </w:p>
    <w:p w14:paraId="4F9E2834" w14:textId="482AEB74" w:rsidR="002E78AB" w:rsidRDefault="002E78AB" w:rsidP="00A93302">
      <w:pPr>
        <w:pStyle w:val="Listenabsatz1"/>
        <w:numPr>
          <w:ilvl w:val="0"/>
          <w:numId w:val="7"/>
        </w:numPr>
        <w:spacing w:before="120" w:after="120"/>
        <w:ind w:left="567" w:hanging="567"/>
        <w:jc w:val="both"/>
        <w:rPr>
          <w:rFonts w:ascii="Arial" w:hAnsi="Arial" w:cs="Arial"/>
          <w:color w:val="000000"/>
        </w:rPr>
      </w:pPr>
      <w:r>
        <w:rPr>
          <w:rFonts w:ascii="Arial" w:hAnsi="Arial" w:cs="Arial"/>
          <w:color w:val="000000"/>
        </w:rPr>
        <w:t xml:space="preserve">In einer Arbeitsgruppe muss jeweils mindestens ein (1) Mitglied jeder Stakeholder-Gruppe vertreten sein. Unter Berücksichtigung zur Verfügung stehender finanzieller Ressourcen können Sachverständige und </w:t>
      </w:r>
      <w:r w:rsidR="00A93302">
        <w:rPr>
          <w:rFonts w:ascii="Arial" w:hAnsi="Arial" w:cs="Arial"/>
          <w:color w:val="000000"/>
        </w:rPr>
        <w:t xml:space="preserve">Expertinnen und </w:t>
      </w:r>
      <w:r>
        <w:rPr>
          <w:rFonts w:ascii="Arial" w:hAnsi="Arial" w:cs="Arial"/>
          <w:color w:val="000000"/>
        </w:rPr>
        <w:t>Experten hinzugezogen werden.</w:t>
      </w:r>
    </w:p>
    <w:p w14:paraId="319799A2" w14:textId="3F262E92" w:rsidR="006543B6" w:rsidRDefault="006543B6" w:rsidP="00A93302">
      <w:pPr>
        <w:pStyle w:val="Listenabsatz1"/>
        <w:numPr>
          <w:ilvl w:val="0"/>
          <w:numId w:val="7"/>
        </w:numPr>
        <w:spacing w:before="120" w:after="120"/>
        <w:ind w:left="567" w:hanging="567"/>
        <w:jc w:val="both"/>
        <w:rPr>
          <w:rFonts w:ascii="Arial" w:hAnsi="Arial" w:cs="Arial"/>
          <w:color w:val="000000"/>
        </w:rPr>
      </w:pPr>
      <w:r>
        <w:rPr>
          <w:rFonts w:ascii="Arial" w:hAnsi="Arial" w:cs="Arial"/>
          <w:color w:val="000000"/>
        </w:rPr>
        <w:t>Arbeitsgruppen können je nach Mandat Beschlussvorschläge an die MSG erarbeiten (siehe § 5).</w:t>
      </w:r>
    </w:p>
    <w:p w14:paraId="79511DA6" w14:textId="77777777" w:rsidR="00A25BF8" w:rsidRPr="006543B6" w:rsidRDefault="002E78AB" w:rsidP="00A93302">
      <w:pPr>
        <w:pStyle w:val="Listenabsatz1"/>
        <w:numPr>
          <w:ilvl w:val="0"/>
          <w:numId w:val="7"/>
        </w:numPr>
        <w:spacing w:before="120" w:after="120"/>
        <w:ind w:left="567" w:hanging="567"/>
        <w:jc w:val="both"/>
        <w:rPr>
          <w:color w:val="000000"/>
        </w:rPr>
      </w:pPr>
      <w:r>
        <w:rPr>
          <w:rFonts w:ascii="Arial" w:hAnsi="Arial" w:cs="Arial"/>
          <w:color w:val="000000"/>
        </w:rPr>
        <w:t>Die Bestimmungen der Geschäftsordnung für die MSG sind entsprechend anzuwenden.</w:t>
      </w:r>
    </w:p>
    <w:p w14:paraId="2113F764" w14:textId="77777777" w:rsidR="002E78AB" w:rsidRDefault="002E78AB" w:rsidP="00092E84">
      <w:pPr>
        <w:pStyle w:val="berschrift1"/>
        <w:jc w:val="both"/>
        <w:rPr>
          <w:rFonts w:ascii="Arial" w:hAnsi="Arial" w:cs="Arial"/>
          <w:color w:val="000000"/>
        </w:rPr>
      </w:pPr>
      <w:bookmarkStart w:id="9" w:name="_Toc409707614"/>
      <w:bookmarkStart w:id="10" w:name="_Toc55647077"/>
      <w:r>
        <w:rPr>
          <w:color w:val="000000"/>
        </w:rPr>
        <w:t>§ 5 Beschlussfassung und Geschäftsgang</w:t>
      </w:r>
      <w:bookmarkEnd w:id="9"/>
      <w:bookmarkEnd w:id="10"/>
    </w:p>
    <w:p w14:paraId="16067E97" w14:textId="77777777" w:rsidR="002E78AB" w:rsidRPr="00D52C95" w:rsidRDefault="002E78AB" w:rsidP="00A93302">
      <w:pPr>
        <w:pStyle w:val="Listenabsatz1"/>
        <w:numPr>
          <w:ilvl w:val="0"/>
          <w:numId w:val="10"/>
        </w:numPr>
        <w:spacing w:before="240"/>
        <w:ind w:left="567" w:hanging="567"/>
        <w:jc w:val="both"/>
        <w:rPr>
          <w:rFonts w:ascii="Arial" w:hAnsi="Arial" w:cs="Arial"/>
          <w:color w:val="000000"/>
        </w:rPr>
      </w:pPr>
      <w:r w:rsidRPr="00D52C95">
        <w:rPr>
          <w:rFonts w:ascii="Arial" w:hAnsi="Arial" w:cs="Arial"/>
          <w:color w:val="000000"/>
        </w:rPr>
        <w:t>Im Sinne des Konsensprinzips der EITI soll die MSG alle Beschlüsse einstimmig fassen.</w:t>
      </w:r>
    </w:p>
    <w:p w14:paraId="12331BDF" w14:textId="77777777" w:rsidR="002E78AB" w:rsidRDefault="002E78AB" w:rsidP="00A93302">
      <w:pPr>
        <w:pStyle w:val="Listenabsatz1"/>
        <w:numPr>
          <w:ilvl w:val="0"/>
          <w:numId w:val="10"/>
        </w:numPr>
        <w:ind w:left="567" w:hanging="567"/>
        <w:jc w:val="both"/>
        <w:rPr>
          <w:rFonts w:ascii="Arial" w:hAnsi="Arial" w:cs="Arial"/>
          <w:color w:val="000000"/>
        </w:rPr>
      </w:pPr>
      <w:r>
        <w:rPr>
          <w:rFonts w:ascii="Arial" w:hAnsi="Arial" w:cs="Arial"/>
          <w:color w:val="000000"/>
        </w:rPr>
        <w:lastRenderedPageBreak/>
        <w:t xml:space="preserve">Für den Fall, dass kein Konsens erreicht werden kann, liegt es im Ermessen des Vorsitzes, Entscheidungen zur Abstimmung zu stellen. </w:t>
      </w:r>
    </w:p>
    <w:p w14:paraId="4DC0EDE6" w14:textId="77777777" w:rsidR="002E78AB" w:rsidRDefault="002E78AB" w:rsidP="00A93302">
      <w:pPr>
        <w:pStyle w:val="Listenabsatz1"/>
        <w:numPr>
          <w:ilvl w:val="0"/>
          <w:numId w:val="10"/>
        </w:numPr>
        <w:ind w:left="567" w:hanging="567"/>
        <w:jc w:val="both"/>
        <w:rPr>
          <w:rFonts w:ascii="Arial" w:hAnsi="Arial" w:cs="Arial"/>
          <w:color w:val="000000"/>
        </w:rPr>
      </w:pPr>
      <w:r>
        <w:rPr>
          <w:rFonts w:ascii="Arial" w:hAnsi="Arial" w:cs="Arial"/>
          <w:color w:val="000000"/>
        </w:rPr>
        <w:t xml:space="preserve">Zur Erreichung der Beschlussfähigkeit muss ein Quorum von neun (9) MSG-Mitgliedern (bzw. deren Stellvertreterinnen und Stellvertretern) erreicht werden und jede der drei (3) Stakeholder-Gruppen muss mit mindestens drei (3) </w:t>
      </w:r>
      <w:r w:rsidR="00EA0EFD">
        <w:rPr>
          <w:rFonts w:ascii="Arial" w:hAnsi="Arial" w:cs="Arial"/>
          <w:color w:val="000000"/>
        </w:rPr>
        <w:t xml:space="preserve">Vertreterinnen und </w:t>
      </w:r>
      <w:r>
        <w:rPr>
          <w:rFonts w:ascii="Arial" w:hAnsi="Arial" w:cs="Arial"/>
          <w:color w:val="000000"/>
        </w:rPr>
        <w:t>Vertretern anwesend sein.</w:t>
      </w:r>
    </w:p>
    <w:p w14:paraId="7D73755E" w14:textId="77777777" w:rsidR="002E78AB" w:rsidRDefault="002E78AB" w:rsidP="00A93302">
      <w:pPr>
        <w:pStyle w:val="Listenabsatz1"/>
        <w:numPr>
          <w:ilvl w:val="0"/>
          <w:numId w:val="10"/>
        </w:numPr>
        <w:ind w:left="567" w:hanging="567"/>
        <w:jc w:val="both"/>
        <w:rPr>
          <w:rFonts w:ascii="Arial" w:hAnsi="Arial" w:cs="Arial"/>
          <w:iCs/>
          <w:color w:val="000000"/>
        </w:rPr>
      </w:pPr>
      <w:r>
        <w:rPr>
          <w:rFonts w:ascii="Arial" w:hAnsi="Arial" w:cs="Arial"/>
          <w:color w:val="000000"/>
        </w:rPr>
        <w:t>Zur Annahme einer zur Abstimmung gestellten Entscheidung ist eine Zweidrittelmehrheit (d.h. abzüglich der Enthaltungen) der anwesenden Mitglieder notwendig, die mindestens drei (3) Stimmen von jeder der drei (3) Stakeholder-Gruppen beinhaltet. Kann diese Mehrheit nicht erreicht werden, wird eine paritätisch besetzte Arbeitsgruppe gebildet, die in Verhandlungsgesprächen zu einer Empfehlung gelangt, welche in der jeweiligen oder der jeweilig nächsten Sitzung der gesamten MSG mitgeteilt wird. Auf Basis dieser Empfehlung bemüht sich die MSG in einer nachfolgenden Sitzung, zu einem Beschluss zu gelangen. Die Empfehlung der Arbeitsgruppe ist analog zu den Bestimmungen</w:t>
      </w:r>
      <w:r w:rsidR="00A93302">
        <w:rPr>
          <w:rFonts w:ascii="Arial" w:hAnsi="Arial" w:cs="Arial"/>
          <w:color w:val="000000"/>
        </w:rPr>
        <w:t xml:space="preserve"> zur</w:t>
      </w:r>
      <w:r>
        <w:rPr>
          <w:rFonts w:ascii="Arial" w:hAnsi="Arial" w:cs="Arial"/>
          <w:color w:val="000000"/>
        </w:rPr>
        <w:t xml:space="preserve"> Beschlussfassung in der MSG mit Zweidrittelmehrheit und der Zustimmung von MSG-Mitgliedern jeder Stakeholder-Gruppe zu verabschieden.</w:t>
      </w:r>
    </w:p>
    <w:p w14:paraId="516A9361" w14:textId="3A14150E" w:rsidR="002E78AB" w:rsidRDefault="002E78AB" w:rsidP="00A93302">
      <w:pPr>
        <w:pStyle w:val="Listenabsatz1"/>
        <w:numPr>
          <w:ilvl w:val="0"/>
          <w:numId w:val="10"/>
        </w:numPr>
        <w:ind w:left="567" w:hanging="567"/>
        <w:jc w:val="both"/>
        <w:rPr>
          <w:rFonts w:ascii="Arial" w:hAnsi="Arial" w:cs="Arial"/>
          <w:color w:val="000000"/>
        </w:rPr>
      </w:pPr>
      <w:r>
        <w:rPr>
          <w:rFonts w:ascii="Arial" w:hAnsi="Arial" w:cs="Arial"/>
          <w:iCs/>
          <w:color w:val="000000"/>
        </w:rPr>
        <w:t>Die Beschlussfassung erfolgt durch Handzeichen</w:t>
      </w:r>
      <w:r w:rsidR="006543B6">
        <w:rPr>
          <w:rFonts w:ascii="Arial" w:hAnsi="Arial" w:cs="Arial"/>
          <w:iCs/>
          <w:color w:val="000000"/>
        </w:rPr>
        <w:t xml:space="preserve"> nach dem Verlesen des Beschlusstextes</w:t>
      </w:r>
      <w:r>
        <w:rPr>
          <w:rFonts w:ascii="Arial" w:hAnsi="Arial" w:cs="Arial"/>
          <w:iCs/>
          <w:color w:val="000000"/>
        </w:rPr>
        <w:t>.</w:t>
      </w:r>
      <w:r>
        <w:rPr>
          <w:rFonts w:ascii="Arial" w:hAnsi="Arial" w:cs="Arial"/>
          <w:color w:val="000000"/>
        </w:rPr>
        <w:t xml:space="preserve"> </w:t>
      </w:r>
    </w:p>
    <w:p w14:paraId="00A4D060" w14:textId="77777777" w:rsidR="002E78AB" w:rsidRDefault="002E78AB" w:rsidP="00A93302">
      <w:pPr>
        <w:pStyle w:val="Listenabsatz1"/>
        <w:numPr>
          <w:ilvl w:val="0"/>
          <w:numId w:val="10"/>
        </w:numPr>
        <w:ind w:left="567" w:hanging="567"/>
        <w:jc w:val="both"/>
        <w:rPr>
          <w:color w:val="000000"/>
        </w:rPr>
      </w:pPr>
      <w:r>
        <w:rPr>
          <w:rFonts w:ascii="Arial" w:hAnsi="Arial" w:cs="Arial"/>
          <w:color w:val="000000"/>
        </w:rPr>
        <w:t>Jedes Mitglied hat eine Stimme. Ergebnisse der Beschlussfassungen einschließlich Enthaltungen werden schriftlich festgehalten.</w:t>
      </w:r>
    </w:p>
    <w:p w14:paraId="4DDAA813" w14:textId="77777777" w:rsidR="002E78AB" w:rsidRDefault="002E78AB" w:rsidP="00092E84">
      <w:pPr>
        <w:pStyle w:val="berschrift1"/>
        <w:jc w:val="both"/>
        <w:rPr>
          <w:rFonts w:ascii="Arial" w:hAnsi="Arial" w:cs="Arial"/>
          <w:color w:val="000000"/>
        </w:rPr>
      </w:pPr>
      <w:bookmarkStart w:id="11" w:name="_Toc409707615"/>
      <w:bookmarkStart w:id="12" w:name="_Toc55647078"/>
      <w:r>
        <w:rPr>
          <w:color w:val="000000"/>
        </w:rPr>
        <w:t>§ 6 Interessenkonflikte und Verhaltenskodex</w:t>
      </w:r>
      <w:bookmarkEnd w:id="11"/>
      <w:bookmarkEnd w:id="12"/>
    </w:p>
    <w:p w14:paraId="586EB965" w14:textId="2CE4D130" w:rsidR="002E78AB" w:rsidRDefault="002E78AB" w:rsidP="00A93302">
      <w:pPr>
        <w:pStyle w:val="Listenabsatz1"/>
        <w:numPr>
          <w:ilvl w:val="0"/>
          <w:numId w:val="6"/>
        </w:numPr>
        <w:spacing w:before="240"/>
        <w:ind w:left="567" w:hanging="567"/>
        <w:jc w:val="both"/>
        <w:rPr>
          <w:rFonts w:ascii="Arial" w:hAnsi="Arial" w:cs="Arial"/>
          <w:color w:val="000000"/>
        </w:rPr>
      </w:pPr>
      <w:r>
        <w:rPr>
          <w:rFonts w:ascii="Arial" w:hAnsi="Arial" w:cs="Arial"/>
          <w:color w:val="000000"/>
        </w:rPr>
        <w:t xml:space="preserve">Es gelten die Regelungen des </w:t>
      </w:r>
      <w:r>
        <w:rPr>
          <w:rFonts w:ascii="Arial" w:hAnsi="Arial" w:cs="Arial"/>
          <w:bCs/>
          <w:color w:val="000000"/>
        </w:rPr>
        <w:t>EITI-Verhaltenskodex (</w:t>
      </w:r>
      <w:hyperlink r:id="rId12" w:history="1">
        <w:r w:rsidR="00A93302" w:rsidRPr="002F08A5">
          <w:rPr>
            <w:rStyle w:val="Hyperlink"/>
            <w:rFonts w:ascii="Arial" w:hAnsi="Arial" w:cs="Arial"/>
            <w:bCs/>
          </w:rPr>
          <w:t>EITI Association Code of Conduct</w:t>
        </w:r>
      </w:hyperlink>
      <w:r>
        <w:rPr>
          <w:rFonts w:ascii="Arial" w:hAnsi="Arial" w:cs="Arial"/>
          <w:bCs/>
          <w:color w:val="000000"/>
        </w:rPr>
        <w:t xml:space="preserve">) für die D-EITI, soweit </w:t>
      </w:r>
      <w:r w:rsidR="00F07457">
        <w:rPr>
          <w:rFonts w:ascii="Arial" w:hAnsi="Arial" w:cs="Arial"/>
          <w:bCs/>
          <w:color w:val="000000"/>
        </w:rPr>
        <w:t xml:space="preserve">diese Geschäftsordnung </w:t>
      </w:r>
      <w:r w:rsidR="008B3115">
        <w:rPr>
          <w:rFonts w:ascii="Arial" w:hAnsi="Arial" w:cs="Arial"/>
          <w:bCs/>
          <w:color w:val="000000"/>
        </w:rPr>
        <w:t>nichts anderes bestimmt</w:t>
      </w:r>
      <w:r>
        <w:rPr>
          <w:rFonts w:ascii="Arial" w:hAnsi="Arial" w:cs="Arial"/>
          <w:bCs/>
          <w:color w:val="000000"/>
        </w:rPr>
        <w:t xml:space="preserve">. </w:t>
      </w:r>
    </w:p>
    <w:p w14:paraId="2ACB2A7D" w14:textId="35BCCE28" w:rsidR="002E78AB" w:rsidRDefault="002E78AB" w:rsidP="00A93302">
      <w:pPr>
        <w:pStyle w:val="Listenabsatz1"/>
        <w:numPr>
          <w:ilvl w:val="0"/>
          <w:numId w:val="6"/>
        </w:numPr>
        <w:ind w:left="567" w:hanging="567"/>
        <w:jc w:val="both"/>
        <w:rPr>
          <w:color w:val="000000"/>
        </w:rPr>
      </w:pPr>
      <w:r>
        <w:rPr>
          <w:rFonts w:ascii="Arial" w:hAnsi="Arial" w:cs="Arial"/>
          <w:color w:val="000000"/>
        </w:rPr>
        <w:t xml:space="preserve">In Ergänzung zum </w:t>
      </w:r>
      <w:r>
        <w:rPr>
          <w:rFonts w:ascii="Arial" w:hAnsi="Arial" w:cs="Arial"/>
          <w:bCs/>
          <w:color w:val="000000"/>
        </w:rPr>
        <w:t>EITI-Verhaltenskodex verpflichten sich a</w:t>
      </w:r>
      <w:r>
        <w:rPr>
          <w:rFonts w:ascii="Arial" w:hAnsi="Arial" w:cs="Arial"/>
          <w:color w:val="000000"/>
        </w:rPr>
        <w:t xml:space="preserve">lle Beteiligten (MSG-Mitglieder, ihre Stellvertreterinnen und Stellvertreter, </w:t>
      </w:r>
      <w:r w:rsidR="006543B6">
        <w:rPr>
          <w:rFonts w:ascii="Arial" w:hAnsi="Arial" w:cs="Arial"/>
          <w:color w:val="000000"/>
        </w:rPr>
        <w:t xml:space="preserve">die Koordinatorinnen und Koordinatoren der Stakeholdergruppen, </w:t>
      </w:r>
      <w:r>
        <w:rPr>
          <w:rFonts w:ascii="Arial" w:hAnsi="Arial" w:cs="Arial"/>
          <w:color w:val="000000"/>
        </w:rPr>
        <w:t xml:space="preserve">Sachverständige und Beobachterinnen und Beobachter) dem Vorsitz Interessenkonflikte, wie in dem </w:t>
      </w:r>
      <w:r w:rsidR="007A1539">
        <w:rPr>
          <w:rFonts w:ascii="Arial" w:hAnsi="Arial" w:cs="Arial"/>
          <w:bCs/>
          <w:color w:val="000000"/>
        </w:rPr>
        <w:t>EITI-Verhaltenskodex</w:t>
      </w:r>
      <w:r>
        <w:rPr>
          <w:rFonts w:ascii="Arial" w:hAnsi="Arial" w:cs="Arial"/>
          <w:i/>
          <w:color w:val="000000"/>
        </w:rPr>
        <w:t xml:space="preserve"> </w:t>
      </w:r>
      <w:r>
        <w:rPr>
          <w:rFonts w:ascii="Arial" w:hAnsi="Arial" w:cs="Arial"/>
          <w:color w:val="000000"/>
        </w:rPr>
        <w:t>definiert, vor einer Sitzung oder einer Beschlussfassung schriftlich mitzuteilen.</w:t>
      </w:r>
    </w:p>
    <w:p w14:paraId="4F29CC3C" w14:textId="77777777" w:rsidR="002E78AB" w:rsidRDefault="002E78AB" w:rsidP="00092E84">
      <w:pPr>
        <w:pStyle w:val="berschrift1"/>
        <w:jc w:val="both"/>
        <w:rPr>
          <w:rFonts w:ascii="Arial" w:hAnsi="Arial" w:cs="Arial"/>
          <w:color w:val="000000"/>
        </w:rPr>
      </w:pPr>
      <w:bookmarkStart w:id="13" w:name="_Toc409707616"/>
      <w:bookmarkStart w:id="14" w:name="_Toc55647079"/>
      <w:r>
        <w:rPr>
          <w:color w:val="000000"/>
        </w:rPr>
        <w:t>§ 7 Transparenz</w:t>
      </w:r>
      <w:bookmarkEnd w:id="13"/>
      <w:bookmarkEnd w:id="14"/>
    </w:p>
    <w:p w14:paraId="118CF6F0" w14:textId="6139EAF0" w:rsidR="002E78AB" w:rsidRDefault="002E78AB" w:rsidP="00FD15AB">
      <w:pPr>
        <w:numPr>
          <w:ilvl w:val="0"/>
          <w:numId w:val="12"/>
        </w:numPr>
        <w:spacing w:before="240"/>
        <w:ind w:left="567" w:hanging="567"/>
        <w:jc w:val="both"/>
        <w:rPr>
          <w:color w:val="000000"/>
        </w:rPr>
      </w:pPr>
      <w:r>
        <w:rPr>
          <w:rFonts w:ascii="Arial" w:hAnsi="Arial" w:cs="Arial"/>
          <w:color w:val="000000"/>
        </w:rPr>
        <w:t xml:space="preserve">Es gelten die Regelungen der </w:t>
      </w:r>
      <w:r>
        <w:rPr>
          <w:rFonts w:ascii="Arial" w:hAnsi="Arial" w:cs="Arial"/>
          <w:bCs/>
          <w:color w:val="000000"/>
        </w:rPr>
        <w:t>EITI-Offenheitspolitik (</w:t>
      </w:r>
      <w:hyperlink r:id="rId13" w:history="1">
        <w:r w:rsidR="005A61E9" w:rsidRPr="002F08A5">
          <w:rPr>
            <w:rStyle w:val="Hyperlink"/>
            <w:rFonts w:ascii="Arial" w:hAnsi="Arial" w:cs="Arial"/>
            <w:bCs/>
          </w:rPr>
          <w:t>EITI Openness policy</w:t>
        </w:r>
      </w:hyperlink>
      <w:r w:rsidR="007A1539">
        <w:rPr>
          <w:rFonts w:ascii="Arial" w:hAnsi="Arial" w:cs="Arial"/>
          <w:bCs/>
          <w:color w:val="000000"/>
        </w:rPr>
        <w:t>)</w:t>
      </w:r>
      <w:r>
        <w:rPr>
          <w:rFonts w:ascii="Arial" w:hAnsi="Arial" w:cs="Arial"/>
          <w:bCs/>
          <w:color w:val="000000"/>
        </w:rPr>
        <w:t xml:space="preserve"> für die D-EITI, soweit </w:t>
      </w:r>
      <w:r w:rsidR="008B3115">
        <w:rPr>
          <w:rFonts w:ascii="Arial" w:hAnsi="Arial" w:cs="Arial"/>
          <w:bCs/>
          <w:color w:val="000000"/>
        </w:rPr>
        <w:t>diese Geschäftsordnung nichts anderes bestimmt</w:t>
      </w:r>
      <w:r w:rsidR="00FE7708">
        <w:rPr>
          <w:rFonts w:ascii="Arial" w:hAnsi="Arial" w:cs="Arial"/>
          <w:bCs/>
          <w:color w:val="000000"/>
        </w:rPr>
        <w:t>.</w:t>
      </w:r>
    </w:p>
    <w:p w14:paraId="67EA0032" w14:textId="77777777" w:rsidR="002E78AB" w:rsidRDefault="002E78AB" w:rsidP="00092E84">
      <w:pPr>
        <w:pStyle w:val="berschrift1"/>
        <w:jc w:val="both"/>
        <w:rPr>
          <w:rFonts w:ascii="Arial" w:hAnsi="Arial" w:cs="Arial"/>
          <w:color w:val="000000"/>
        </w:rPr>
      </w:pPr>
      <w:bookmarkStart w:id="15" w:name="_Toc409707617"/>
      <w:bookmarkStart w:id="16" w:name="_Toc55647080"/>
      <w:r>
        <w:rPr>
          <w:color w:val="000000"/>
        </w:rPr>
        <w:t>§ </w:t>
      </w:r>
      <w:r w:rsidR="00FD15AB">
        <w:rPr>
          <w:color w:val="000000"/>
        </w:rPr>
        <w:t>8</w:t>
      </w:r>
      <w:r>
        <w:rPr>
          <w:color w:val="000000"/>
        </w:rPr>
        <w:t xml:space="preserve"> Inkrafttreten</w:t>
      </w:r>
      <w:bookmarkEnd w:id="15"/>
      <w:bookmarkEnd w:id="16"/>
    </w:p>
    <w:p w14:paraId="1716620C" w14:textId="5441B348" w:rsidR="002E78AB" w:rsidRDefault="002E78AB" w:rsidP="00FD15AB">
      <w:pPr>
        <w:pStyle w:val="Listenabsatz1"/>
        <w:numPr>
          <w:ilvl w:val="0"/>
          <w:numId w:val="13"/>
        </w:numPr>
        <w:spacing w:before="240"/>
        <w:ind w:left="567" w:hanging="567"/>
        <w:jc w:val="both"/>
        <w:rPr>
          <w:color w:val="000000"/>
        </w:rPr>
      </w:pPr>
      <w:r>
        <w:rPr>
          <w:rFonts w:ascii="Arial" w:hAnsi="Arial" w:cs="Arial"/>
          <w:color w:val="000000"/>
        </w:rPr>
        <w:t>Diese Geschäftsordnung tritt mit einstimmige</w:t>
      </w:r>
      <w:r w:rsidR="004C4AC5">
        <w:rPr>
          <w:rFonts w:ascii="Arial" w:hAnsi="Arial" w:cs="Arial"/>
          <w:color w:val="000000"/>
        </w:rPr>
        <w:t>m</w:t>
      </w:r>
      <w:r>
        <w:rPr>
          <w:rFonts w:ascii="Arial" w:hAnsi="Arial" w:cs="Arial"/>
          <w:color w:val="000000"/>
        </w:rPr>
        <w:t xml:space="preserve"> Beschluss mit Wirkung vom 10.03.2015 (Beschluss 1. Überarbeitung 13.07.2016</w:t>
      </w:r>
      <w:r w:rsidR="00FE7708">
        <w:rPr>
          <w:rFonts w:ascii="Arial" w:hAnsi="Arial" w:cs="Arial"/>
          <w:color w:val="000000"/>
        </w:rPr>
        <w:t xml:space="preserve">; Beschluss 2. Überarbeitung </w:t>
      </w:r>
      <w:r w:rsidR="002F08A5">
        <w:rPr>
          <w:rFonts w:ascii="Arial" w:hAnsi="Arial" w:cs="Arial"/>
          <w:color w:val="000000"/>
        </w:rPr>
        <w:t>25.11.2020</w:t>
      </w:r>
      <w:r w:rsidR="008A3DD9">
        <w:rPr>
          <w:rFonts w:ascii="Arial" w:hAnsi="Arial" w:cs="Arial"/>
          <w:color w:val="000000"/>
        </w:rPr>
        <w:t>; Beschluss 3. Überarbeitung</w:t>
      </w:r>
      <w:r w:rsidR="009E1A7C">
        <w:rPr>
          <w:rFonts w:ascii="Arial" w:hAnsi="Arial" w:cs="Arial"/>
          <w:color w:val="000000"/>
        </w:rPr>
        <w:t xml:space="preserve"> </w:t>
      </w:r>
      <w:r w:rsidR="00BD504C" w:rsidRPr="00641980">
        <w:rPr>
          <w:rFonts w:ascii="Arial" w:hAnsi="Arial" w:cs="Arial"/>
          <w:color w:val="000000"/>
        </w:rPr>
        <w:t>20</w:t>
      </w:r>
      <w:r w:rsidR="009E1A7C" w:rsidRPr="00641980">
        <w:rPr>
          <w:rFonts w:ascii="Arial" w:hAnsi="Arial" w:cs="Arial"/>
          <w:color w:val="000000"/>
        </w:rPr>
        <w:t>.</w:t>
      </w:r>
      <w:r w:rsidR="00BD504C" w:rsidRPr="00641980">
        <w:rPr>
          <w:rFonts w:ascii="Arial" w:hAnsi="Arial" w:cs="Arial"/>
          <w:color w:val="000000"/>
        </w:rPr>
        <w:t>09</w:t>
      </w:r>
      <w:r w:rsidR="009E1A7C" w:rsidRPr="00641980">
        <w:rPr>
          <w:rFonts w:ascii="Arial" w:hAnsi="Arial" w:cs="Arial"/>
          <w:color w:val="000000"/>
        </w:rPr>
        <w:t>.2023</w:t>
      </w:r>
      <w:r>
        <w:rPr>
          <w:rFonts w:ascii="Arial" w:hAnsi="Arial" w:cs="Arial"/>
          <w:color w:val="000000"/>
        </w:rPr>
        <w:t>) in Kraft.</w:t>
      </w:r>
    </w:p>
    <w:p w14:paraId="50BC1EB4" w14:textId="77777777" w:rsidR="002E78AB" w:rsidRDefault="002E78AB" w:rsidP="00092E84">
      <w:pPr>
        <w:pStyle w:val="berschrift1"/>
        <w:jc w:val="both"/>
        <w:rPr>
          <w:rFonts w:ascii="Arial" w:hAnsi="Arial" w:cs="Arial"/>
          <w:color w:val="000000"/>
        </w:rPr>
      </w:pPr>
      <w:bookmarkStart w:id="17" w:name="_Toc409707618"/>
      <w:bookmarkStart w:id="18" w:name="_Toc55647081"/>
      <w:r>
        <w:rPr>
          <w:color w:val="000000"/>
        </w:rPr>
        <w:lastRenderedPageBreak/>
        <w:t xml:space="preserve">§ </w:t>
      </w:r>
      <w:r w:rsidR="00FD15AB">
        <w:rPr>
          <w:color w:val="000000"/>
        </w:rPr>
        <w:t>9</w:t>
      </w:r>
      <w:r>
        <w:rPr>
          <w:color w:val="000000"/>
        </w:rPr>
        <w:t xml:space="preserve"> Änderung der Geschäftsordnung</w:t>
      </w:r>
      <w:bookmarkEnd w:id="17"/>
      <w:bookmarkEnd w:id="18"/>
      <w:r>
        <w:rPr>
          <w:color w:val="000000"/>
        </w:rPr>
        <w:t xml:space="preserve"> </w:t>
      </w:r>
    </w:p>
    <w:p w14:paraId="5BF2D002" w14:textId="77777777" w:rsidR="002E78AB" w:rsidRDefault="002E78AB" w:rsidP="00FD15AB">
      <w:pPr>
        <w:pStyle w:val="Listenabsatz1"/>
        <w:numPr>
          <w:ilvl w:val="0"/>
          <w:numId w:val="9"/>
        </w:numPr>
        <w:spacing w:before="120" w:after="120"/>
        <w:ind w:left="567" w:hanging="567"/>
        <w:jc w:val="both"/>
        <w:rPr>
          <w:rFonts w:ascii="Arial" w:hAnsi="Arial" w:cs="Arial"/>
          <w:iCs/>
          <w:color w:val="000000"/>
        </w:rPr>
      </w:pPr>
      <w:r>
        <w:rPr>
          <w:rFonts w:ascii="Arial" w:hAnsi="Arial" w:cs="Arial"/>
          <w:color w:val="000000"/>
        </w:rPr>
        <w:t>Zur Änderung dieser Geschäftsordnung</w:t>
      </w:r>
      <w:r w:rsidR="005A61E9">
        <w:rPr>
          <w:rFonts w:ascii="Arial" w:hAnsi="Arial" w:cs="Arial"/>
          <w:color w:val="000000"/>
        </w:rPr>
        <w:t xml:space="preserve"> </w:t>
      </w:r>
      <w:r>
        <w:rPr>
          <w:rFonts w:ascii="Arial" w:hAnsi="Arial" w:cs="Arial"/>
          <w:color w:val="000000"/>
        </w:rPr>
        <w:t>ist ein einstimmiger Beschluss der MSG erforderlich.</w:t>
      </w:r>
    </w:p>
    <w:p w14:paraId="0D22B6CB" w14:textId="77777777" w:rsidR="002E78AB" w:rsidRPr="00FD15AB" w:rsidRDefault="002E78AB" w:rsidP="00092E84">
      <w:pPr>
        <w:pStyle w:val="Listenabsatz1"/>
        <w:numPr>
          <w:ilvl w:val="0"/>
          <w:numId w:val="9"/>
        </w:numPr>
        <w:spacing w:before="120" w:after="120"/>
        <w:ind w:left="567" w:hanging="567"/>
        <w:jc w:val="both"/>
        <w:rPr>
          <w:color w:val="000000"/>
        </w:rPr>
      </w:pPr>
      <w:r>
        <w:rPr>
          <w:rFonts w:ascii="Arial" w:hAnsi="Arial" w:cs="Arial"/>
          <w:iCs/>
          <w:color w:val="000000"/>
        </w:rPr>
        <w:t>Änderungsvorschläge zur Geschäftsordnung sind mit kurzer Begründung bis zwei (2) Wochen vor der jeweiligen Sitzung den MSG-Mitgliedern und dem D-EITI-Sekretariat zuzuleiten.</w:t>
      </w:r>
    </w:p>
    <w:sectPr w:rsidR="002E78AB" w:rsidRPr="00FD15AB">
      <w:headerReference w:type="default" r:id="rId14"/>
      <w:pgSz w:w="11906" w:h="16838"/>
      <w:pgMar w:top="1417" w:right="1417" w:bottom="1134" w:left="1417" w:header="708" w:footer="70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780D" w14:textId="77777777" w:rsidR="00A66244" w:rsidRDefault="00A66244">
      <w:pPr>
        <w:spacing w:after="0" w:line="240" w:lineRule="auto"/>
      </w:pPr>
      <w:r>
        <w:separator/>
      </w:r>
    </w:p>
  </w:endnote>
  <w:endnote w:type="continuationSeparator" w:id="0">
    <w:p w14:paraId="1C679E21" w14:textId="77777777" w:rsidR="00A66244" w:rsidRDefault="00A6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FBA9" w14:textId="77777777" w:rsidR="00A66244" w:rsidRDefault="00A66244">
      <w:pPr>
        <w:spacing w:after="0" w:line="240" w:lineRule="auto"/>
      </w:pPr>
      <w:r>
        <w:separator/>
      </w:r>
    </w:p>
  </w:footnote>
  <w:footnote w:type="continuationSeparator" w:id="0">
    <w:p w14:paraId="551E1928" w14:textId="77777777" w:rsidR="00A66244" w:rsidRDefault="00A66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B488" w14:textId="77777777" w:rsidR="002E78AB" w:rsidRDefault="002E78AB">
    <w:pPr>
      <w:pStyle w:val="Kopfzeile"/>
      <w:tabs>
        <w:tab w:val="left" w:pos="39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F8FA2814"/>
    <w:name w:val="WWNum32"/>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4"/>
    <w:multiLevelType w:val="multilevel"/>
    <w:tmpl w:val="00000004"/>
    <w:name w:val="WWNum3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4A96E6F0"/>
    <w:name w:val="WWNum36"/>
    <w:lvl w:ilvl="0">
      <w:start w:val="1"/>
      <w:numFmt w:val="decimal"/>
      <w:lvlText w:val="(%1)"/>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multilevel"/>
    <w:tmpl w:val="23B09260"/>
    <w:name w:val="WWNum38"/>
    <w:lvl w:ilvl="0">
      <w:start w:val="1"/>
      <w:numFmt w:val="decimal"/>
      <w:lvlText w:val="(%1)"/>
      <w:lvlJc w:val="left"/>
      <w:pPr>
        <w:tabs>
          <w:tab w:val="num" w:pos="0"/>
        </w:tabs>
        <w:ind w:left="360" w:hanging="360"/>
      </w:pPr>
      <w:rPr>
        <w:rFonts w:ascii="Arial" w:hAnsi="Arial" w:cs="Arial" w:hint="default"/>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ABE03D80"/>
    <w:name w:val="WWNum39"/>
    <w:lvl w:ilvl="0">
      <w:start w:val="1"/>
      <w:numFmt w:val="decimal"/>
      <w:lvlText w:val="(%1)"/>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00000008"/>
    <w:name w:val="WWNum4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3CD8BBE0"/>
    <w:name w:val="WWNum42"/>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E02EFC9E"/>
    <w:name w:val="WWNum43"/>
    <w:lvl w:ilvl="0">
      <w:start w:val="1"/>
      <w:numFmt w:val="decimal"/>
      <w:lvlText w:val="(%1)"/>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0000000B"/>
    <w:multiLevelType w:val="multilevel"/>
    <w:tmpl w:val="1E5E4A86"/>
    <w:name w:val="WWNum44"/>
    <w:lvl w:ilvl="0">
      <w:start w:val="1"/>
      <w:numFmt w:val="decimal"/>
      <w:lvlText w:val="(%1)"/>
      <w:lvlJc w:val="left"/>
      <w:pPr>
        <w:tabs>
          <w:tab w:val="num" w:pos="0"/>
        </w:tabs>
        <w:ind w:left="360" w:hanging="360"/>
      </w:pPr>
      <w:rPr>
        <w:rFonts w:ascii="Arial" w:hAnsi="Arial" w:cs="Arial" w:hint="default"/>
        <w:b/>
        <w:bCs w:val="0"/>
        <w:i w:val="0"/>
        <w:iCs w:val="0"/>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B80697C"/>
    <w:multiLevelType w:val="hybridMultilevel"/>
    <w:tmpl w:val="D932CD2C"/>
    <w:lvl w:ilvl="0" w:tplc="E10883E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991B61"/>
    <w:multiLevelType w:val="hybridMultilevel"/>
    <w:tmpl w:val="7966E33A"/>
    <w:lvl w:ilvl="0" w:tplc="7FB60ED6">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9187517">
    <w:abstractNumId w:val="0"/>
  </w:num>
  <w:num w:numId="2" w16cid:durableId="734396816">
    <w:abstractNumId w:val="1"/>
  </w:num>
  <w:num w:numId="3" w16cid:durableId="1655379390">
    <w:abstractNumId w:val="2"/>
  </w:num>
  <w:num w:numId="4" w16cid:durableId="651761757">
    <w:abstractNumId w:val="3"/>
  </w:num>
  <w:num w:numId="5" w16cid:durableId="1945965674">
    <w:abstractNumId w:val="4"/>
  </w:num>
  <w:num w:numId="6" w16cid:durableId="1975329345">
    <w:abstractNumId w:val="5"/>
  </w:num>
  <w:num w:numId="7" w16cid:durableId="1792822636">
    <w:abstractNumId w:val="6"/>
  </w:num>
  <w:num w:numId="8" w16cid:durableId="163325163">
    <w:abstractNumId w:val="7"/>
  </w:num>
  <w:num w:numId="9" w16cid:durableId="197744122">
    <w:abstractNumId w:val="8"/>
  </w:num>
  <w:num w:numId="10" w16cid:durableId="386072577">
    <w:abstractNumId w:val="9"/>
  </w:num>
  <w:num w:numId="11" w16cid:durableId="1543129550">
    <w:abstractNumId w:val="10"/>
  </w:num>
  <w:num w:numId="12" w16cid:durableId="677585109">
    <w:abstractNumId w:val="11"/>
  </w:num>
  <w:num w:numId="13" w16cid:durableId="33312782">
    <w:abstractNumId w:val="12"/>
  </w:num>
  <w:num w:numId="14" w16cid:durableId="279841565">
    <w:abstractNumId w:val="0"/>
  </w:num>
  <w:num w:numId="15" w16cid:durableId="99904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2F"/>
    <w:rsid w:val="00013829"/>
    <w:rsid w:val="000221AB"/>
    <w:rsid w:val="00040BF6"/>
    <w:rsid w:val="00076182"/>
    <w:rsid w:val="00092E84"/>
    <w:rsid w:val="000A0B57"/>
    <w:rsid w:val="000D2D73"/>
    <w:rsid w:val="000D3F50"/>
    <w:rsid w:val="002C11F7"/>
    <w:rsid w:val="002C439E"/>
    <w:rsid w:val="002E78AB"/>
    <w:rsid w:val="002F08A5"/>
    <w:rsid w:val="00304B5C"/>
    <w:rsid w:val="003626E1"/>
    <w:rsid w:val="0037101C"/>
    <w:rsid w:val="00377B3D"/>
    <w:rsid w:val="0039037A"/>
    <w:rsid w:val="003B24B4"/>
    <w:rsid w:val="003C7061"/>
    <w:rsid w:val="003D14FC"/>
    <w:rsid w:val="00423EE7"/>
    <w:rsid w:val="004526F0"/>
    <w:rsid w:val="004C4AC5"/>
    <w:rsid w:val="004D2AFA"/>
    <w:rsid w:val="004F75F0"/>
    <w:rsid w:val="00502479"/>
    <w:rsid w:val="0054278C"/>
    <w:rsid w:val="005A61E9"/>
    <w:rsid w:val="005B11E1"/>
    <w:rsid w:val="006051D2"/>
    <w:rsid w:val="00627CD3"/>
    <w:rsid w:val="00641980"/>
    <w:rsid w:val="006543B6"/>
    <w:rsid w:val="00670D74"/>
    <w:rsid w:val="0073092F"/>
    <w:rsid w:val="00733B59"/>
    <w:rsid w:val="007A1539"/>
    <w:rsid w:val="007C0DC7"/>
    <w:rsid w:val="007D2420"/>
    <w:rsid w:val="00821204"/>
    <w:rsid w:val="00846DED"/>
    <w:rsid w:val="008A3DD9"/>
    <w:rsid w:val="008B3115"/>
    <w:rsid w:val="008D51EA"/>
    <w:rsid w:val="008E7473"/>
    <w:rsid w:val="008F324A"/>
    <w:rsid w:val="009674CE"/>
    <w:rsid w:val="009D10E5"/>
    <w:rsid w:val="009D27BB"/>
    <w:rsid w:val="009E1A7C"/>
    <w:rsid w:val="009E5711"/>
    <w:rsid w:val="00A01320"/>
    <w:rsid w:val="00A25BF8"/>
    <w:rsid w:val="00A66244"/>
    <w:rsid w:val="00A7182B"/>
    <w:rsid w:val="00A93302"/>
    <w:rsid w:val="00AD3ABB"/>
    <w:rsid w:val="00AF59FD"/>
    <w:rsid w:val="00B337D5"/>
    <w:rsid w:val="00BD504C"/>
    <w:rsid w:val="00C3154C"/>
    <w:rsid w:val="00CD3BE1"/>
    <w:rsid w:val="00D3467A"/>
    <w:rsid w:val="00D52C95"/>
    <w:rsid w:val="00D87206"/>
    <w:rsid w:val="00DC7598"/>
    <w:rsid w:val="00DD5667"/>
    <w:rsid w:val="00E02AC1"/>
    <w:rsid w:val="00E210EF"/>
    <w:rsid w:val="00E42287"/>
    <w:rsid w:val="00E54B1C"/>
    <w:rsid w:val="00E8608B"/>
    <w:rsid w:val="00EA0EFD"/>
    <w:rsid w:val="00ED26A6"/>
    <w:rsid w:val="00F04AB2"/>
    <w:rsid w:val="00F07457"/>
    <w:rsid w:val="00F369E0"/>
    <w:rsid w:val="00F55618"/>
    <w:rsid w:val="00FD15AB"/>
    <w:rsid w:val="00FE77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145FA7"/>
  <w15:chartTrackingRefBased/>
  <w15:docId w15:val="{43087A5F-004B-474F-8196-77F150FF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SimSun" w:hAnsi="Calibri"/>
      <w:sz w:val="22"/>
      <w:szCs w:val="22"/>
      <w:lang w:eastAsia="ar-SA"/>
    </w:rPr>
  </w:style>
  <w:style w:type="paragraph" w:styleId="berschrift1">
    <w:name w:val="heading 1"/>
    <w:basedOn w:val="Standard"/>
    <w:next w:val="Textkrper"/>
    <w:qFormat/>
    <w:pPr>
      <w:keepNext/>
      <w:keepLines/>
      <w:numPr>
        <w:numId w:val="1"/>
      </w:numPr>
      <w:spacing w:before="480" w:after="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eastAsia="Times New Roman" w:hAnsi="Arial" w:cs="Times New Roman"/>
      <w:sz w:val="24"/>
      <w:szCs w:val="20"/>
    </w:rPr>
  </w:style>
  <w:style w:type="character" w:customStyle="1" w:styleId="berschrift1Zchn">
    <w:name w:val="Überschrift 1 Zchn"/>
    <w:rPr>
      <w:rFonts w:ascii="Cambria" w:hAnsi="Cambria"/>
      <w:b/>
      <w:bCs/>
      <w:color w:val="365F91"/>
      <w:sz w:val="28"/>
      <w:szCs w:val="28"/>
    </w:rPr>
  </w:style>
  <w:style w:type="character" w:styleId="Hyperlink">
    <w:name w:val="Hyperlink"/>
    <w:rPr>
      <w:color w:val="0000FF"/>
      <w:u w:val="single"/>
    </w:rPr>
  </w:style>
  <w:style w:type="character" w:customStyle="1" w:styleId="SprechblasentextZchn">
    <w:name w:val="Sprechblasentext Zchn"/>
    <w:rPr>
      <w:rFonts w:ascii="Tahoma" w:hAnsi="Tahoma" w:cs="Tahoma"/>
      <w:sz w:val="16"/>
      <w:szCs w:val="16"/>
    </w:rPr>
  </w:style>
  <w:style w:type="character" w:customStyle="1" w:styleId="FuzeileZchn">
    <w:name w:val="Fußzeile Zchn"/>
    <w:rPr>
      <w:rFonts w:ascii="Calibri" w:hAnsi="Calibri" w:cs="Times New Roman"/>
    </w:rPr>
  </w:style>
  <w:style w:type="character" w:customStyle="1" w:styleId="apple-converted-space">
    <w:name w:val="apple-converted-space"/>
    <w:basedOn w:val="Absatz-Standardschriftart1"/>
  </w:style>
  <w:style w:type="character" w:styleId="Hervorhebung">
    <w:name w:val="Emphasis"/>
    <w:qFormat/>
    <w:rPr>
      <w:i/>
      <w:iCs/>
    </w:rPr>
  </w:style>
  <w:style w:type="character" w:customStyle="1" w:styleId="nix1">
    <w:name w:val="nix1"/>
    <w:rPr>
      <w:vanish w:val="0"/>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ZitatZchn">
    <w:name w:val="Zitat Zchn"/>
    <w:rPr>
      <w:rFonts w:ascii="Times New Roman" w:hAnsi="Times New Roman"/>
    </w:rPr>
  </w:style>
  <w:style w:type="character" w:customStyle="1" w:styleId="BesuchterLink1">
    <w:name w:val="BesuchterLink1"/>
    <w:rPr>
      <w:color w:val="800080"/>
      <w:u w:val="single"/>
    </w:rPr>
  </w:style>
  <w:style w:type="character" w:customStyle="1" w:styleId="NurTextZchn">
    <w:name w:val="Nur Text Zchn"/>
    <w:rPr>
      <w:rFonts w:ascii="Arial" w:hAnsi="Arial"/>
      <w:sz w:val="24"/>
      <w:szCs w:val="21"/>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b/>
      <w:sz w:val="22"/>
      <w:szCs w:val="22"/>
    </w:rPr>
  </w:style>
  <w:style w:type="character" w:customStyle="1" w:styleId="BesuchterHyperlink">
    <w:name w:val="Besuchter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suppressLineNumbers/>
      <w:tabs>
        <w:tab w:val="center" w:pos="4536"/>
        <w:tab w:val="right" w:pos="9072"/>
      </w:tabs>
      <w:spacing w:after="0" w:line="360" w:lineRule="auto"/>
    </w:pPr>
    <w:rPr>
      <w:rFonts w:ascii="Arial" w:eastAsia="Times New Roman" w:hAnsi="Arial"/>
      <w:sz w:val="24"/>
      <w:szCs w:val="20"/>
    </w:rPr>
  </w:style>
  <w:style w:type="paragraph" w:customStyle="1" w:styleId="Listenabsatz1">
    <w:name w:val="Listenabsatz1"/>
    <w:basedOn w:val="Standard"/>
    <w:pPr>
      <w:ind w:left="720"/>
    </w:pPr>
  </w:style>
  <w:style w:type="paragraph" w:customStyle="1" w:styleId="Inhaltsverzeichnisberschrift">
    <w:name w:val="Inhaltsverzeichnis Überschrift"/>
    <w:basedOn w:val="berschrift1"/>
    <w:pPr>
      <w:numPr>
        <w:numId w:val="0"/>
      </w:numPr>
      <w:suppressLineNumbers/>
    </w:pPr>
    <w:rPr>
      <w:sz w:val="32"/>
      <w:szCs w:val="32"/>
    </w:rPr>
  </w:style>
  <w:style w:type="paragraph" w:styleId="Verzeichnis1">
    <w:name w:val="toc 1"/>
    <w:basedOn w:val="Standard"/>
    <w:uiPriority w:val="39"/>
    <w:pPr>
      <w:tabs>
        <w:tab w:val="right" w:leader="dot" w:pos="9638"/>
      </w:tabs>
      <w:spacing w:after="100"/>
    </w:pPr>
  </w:style>
  <w:style w:type="paragraph" w:customStyle="1" w:styleId="Sprechblasentext1">
    <w:name w:val="Sprechblasentext1"/>
    <w:basedOn w:val="Standard"/>
    <w:pPr>
      <w:spacing w:after="0" w:line="100" w:lineRule="atLeast"/>
    </w:pPr>
    <w:rPr>
      <w:rFonts w:ascii="Tahoma" w:hAnsi="Tahoma" w:cs="Tahoma"/>
      <w:sz w:val="16"/>
      <w:szCs w:val="16"/>
    </w:rPr>
  </w:style>
  <w:style w:type="paragraph" w:styleId="Fuzeile">
    <w:name w:val="footer"/>
    <w:basedOn w:val="Standard"/>
    <w:pPr>
      <w:suppressLineNumbers/>
      <w:tabs>
        <w:tab w:val="center" w:pos="4536"/>
        <w:tab w:val="right" w:pos="9072"/>
      </w:tabs>
      <w:spacing w:after="0" w:line="100" w:lineRule="atLeast"/>
    </w:pPr>
  </w:style>
  <w:style w:type="paragraph" w:customStyle="1" w:styleId="Kommentartext1">
    <w:name w:val="Kommentartext1"/>
    <w:basedOn w:val="Standard"/>
    <w:pPr>
      <w:spacing w:line="100" w:lineRule="atLeast"/>
    </w:pPr>
    <w:rPr>
      <w:sz w:val="20"/>
      <w:szCs w:val="20"/>
    </w:rPr>
  </w:style>
  <w:style w:type="paragraph" w:customStyle="1" w:styleId="Kommentarthema1">
    <w:name w:val="Kommentarthema1"/>
    <w:basedOn w:val="Kommentartext1"/>
    <w:rPr>
      <w:b/>
      <w:bCs/>
    </w:rPr>
  </w:style>
  <w:style w:type="paragraph" w:customStyle="1" w:styleId="Default">
    <w:name w:val="Default"/>
    <w:pPr>
      <w:suppressAutoHyphens/>
      <w:spacing w:line="100" w:lineRule="atLeast"/>
    </w:pPr>
    <w:rPr>
      <w:rFonts w:ascii="Arial" w:eastAsia="SimSun" w:hAnsi="Arial" w:cs="Arial"/>
      <w:color w:val="000000"/>
      <w:sz w:val="24"/>
      <w:szCs w:val="24"/>
      <w:lang w:eastAsia="ar-SA"/>
    </w:rPr>
  </w:style>
  <w:style w:type="paragraph" w:customStyle="1" w:styleId="KeinLeerraum1">
    <w:name w:val="Kein Leerraum1"/>
    <w:pPr>
      <w:widowControl w:val="0"/>
      <w:suppressAutoHyphens/>
      <w:spacing w:line="100" w:lineRule="atLeast"/>
    </w:pPr>
    <w:rPr>
      <w:rFonts w:ascii="Lucida Sans Unicode" w:eastAsia="SimSun" w:hAnsi="Lucida Sans Unicode"/>
      <w:sz w:val="24"/>
      <w:szCs w:val="24"/>
      <w:lang w:eastAsia="ar-SA"/>
    </w:rPr>
  </w:style>
  <w:style w:type="paragraph" w:customStyle="1" w:styleId="Zitat1">
    <w:name w:val="Zitat1"/>
    <w:basedOn w:val="Standard"/>
    <w:pPr>
      <w:spacing w:after="360" w:line="100" w:lineRule="atLeast"/>
      <w:ind w:left="567"/>
    </w:pPr>
    <w:rPr>
      <w:rFonts w:ascii="Times New Roman" w:hAnsi="Times New Roman"/>
    </w:rPr>
  </w:style>
  <w:style w:type="paragraph" w:customStyle="1" w:styleId="berarbeitung1">
    <w:name w:val="Überarbeitung1"/>
    <w:pPr>
      <w:suppressAutoHyphens/>
      <w:spacing w:line="100" w:lineRule="atLeast"/>
    </w:pPr>
    <w:rPr>
      <w:rFonts w:ascii="Calibri" w:eastAsia="SimSun" w:hAnsi="Calibri"/>
      <w:sz w:val="22"/>
      <w:szCs w:val="22"/>
      <w:lang w:eastAsia="ar-SA"/>
    </w:rPr>
  </w:style>
  <w:style w:type="paragraph" w:customStyle="1" w:styleId="NurText1">
    <w:name w:val="Nur Text1"/>
    <w:basedOn w:val="Standard"/>
    <w:pPr>
      <w:spacing w:after="0" w:line="100" w:lineRule="atLeast"/>
    </w:pPr>
    <w:rPr>
      <w:rFonts w:ascii="Arial" w:hAnsi="Arial"/>
      <w:sz w:val="24"/>
      <w:szCs w:val="21"/>
    </w:rPr>
  </w:style>
  <w:style w:type="paragraph" w:styleId="Sprechblasentext">
    <w:name w:val="Balloon Text"/>
    <w:basedOn w:val="Standard"/>
    <w:link w:val="SprechblasentextZchn1"/>
    <w:uiPriority w:val="99"/>
    <w:semiHidden/>
    <w:unhideWhenUsed/>
    <w:rsid w:val="006051D2"/>
    <w:pPr>
      <w:spacing w:after="0" w:line="240" w:lineRule="auto"/>
    </w:pPr>
    <w:rPr>
      <w:rFonts w:ascii="Tahoma" w:hAnsi="Tahoma" w:cs="Tahoma"/>
      <w:sz w:val="16"/>
      <w:szCs w:val="16"/>
    </w:rPr>
  </w:style>
  <w:style w:type="character" w:customStyle="1" w:styleId="SprechblasentextZchn1">
    <w:name w:val="Sprechblasentext Zchn1"/>
    <w:link w:val="Sprechblasentext"/>
    <w:uiPriority w:val="99"/>
    <w:semiHidden/>
    <w:rsid w:val="006051D2"/>
    <w:rPr>
      <w:rFonts w:ascii="Tahoma" w:eastAsia="SimSun" w:hAnsi="Tahoma" w:cs="Tahoma"/>
      <w:sz w:val="16"/>
      <w:szCs w:val="16"/>
      <w:lang w:eastAsia="ar-SA"/>
    </w:rPr>
  </w:style>
  <w:style w:type="paragraph" w:styleId="Funotentext">
    <w:name w:val="footnote text"/>
    <w:basedOn w:val="Standard"/>
    <w:link w:val="FunotentextZchn"/>
    <w:uiPriority w:val="99"/>
    <w:semiHidden/>
    <w:unhideWhenUsed/>
    <w:rsid w:val="00A7182B"/>
    <w:rPr>
      <w:sz w:val="20"/>
      <w:szCs w:val="20"/>
    </w:rPr>
  </w:style>
  <w:style w:type="character" w:customStyle="1" w:styleId="FunotentextZchn">
    <w:name w:val="Fußnotentext Zchn"/>
    <w:link w:val="Funotentext"/>
    <w:uiPriority w:val="99"/>
    <w:semiHidden/>
    <w:rsid w:val="00A7182B"/>
    <w:rPr>
      <w:rFonts w:ascii="Calibri" w:eastAsia="SimSun" w:hAnsi="Calibri"/>
      <w:lang w:eastAsia="ar-SA"/>
    </w:rPr>
  </w:style>
  <w:style w:type="character" w:styleId="Funotenzeichen">
    <w:name w:val="footnote reference"/>
    <w:uiPriority w:val="99"/>
    <w:semiHidden/>
    <w:unhideWhenUsed/>
    <w:rsid w:val="00A7182B"/>
    <w:rPr>
      <w:vertAlign w:val="superscript"/>
    </w:rPr>
  </w:style>
  <w:style w:type="character" w:styleId="Kommentarzeichen">
    <w:name w:val="annotation reference"/>
    <w:basedOn w:val="Absatz-Standardschriftart"/>
    <w:uiPriority w:val="99"/>
    <w:semiHidden/>
    <w:unhideWhenUsed/>
    <w:rsid w:val="00C3154C"/>
    <w:rPr>
      <w:sz w:val="16"/>
      <w:szCs w:val="16"/>
    </w:rPr>
  </w:style>
  <w:style w:type="paragraph" w:styleId="Kommentartext">
    <w:name w:val="annotation text"/>
    <w:basedOn w:val="Standard"/>
    <w:link w:val="KommentartextZchn1"/>
    <w:uiPriority w:val="99"/>
    <w:semiHidden/>
    <w:unhideWhenUsed/>
    <w:rsid w:val="00C3154C"/>
    <w:rPr>
      <w:sz w:val="20"/>
      <w:szCs w:val="20"/>
    </w:rPr>
  </w:style>
  <w:style w:type="character" w:customStyle="1" w:styleId="KommentartextZchn1">
    <w:name w:val="Kommentartext Zchn1"/>
    <w:basedOn w:val="Absatz-Standardschriftart"/>
    <w:link w:val="Kommentartext"/>
    <w:uiPriority w:val="99"/>
    <w:semiHidden/>
    <w:rsid w:val="00C3154C"/>
    <w:rPr>
      <w:rFonts w:ascii="Calibri" w:eastAsia="SimSun" w:hAnsi="Calibri"/>
      <w:lang w:eastAsia="ar-SA"/>
    </w:rPr>
  </w:style>
  <w:style w:type="paragraph" w:styleId="Kommentarthema">
    <w:name w:val="annotation subject"/>
    <w:basedOn w:val="Kommentartext"/>
    <w:next w:val="Kommentartext"/>
    <w:link w:val="KommentarthemaZchn1"/>
    <w:uiPriority w:val="99"/>
    <w:semiHidden/>
    <w:unhideWhenUsed/>
    <w:rsid w:val="00C3154C"/>
    <w:rPr>
      <w:b/>
      <w:bCs/>
    </w:rPr>
  </w:style>
  <w:style w:type="character" w:customStyle="1" w:styleId="KommentarthemaZchn1">
    <w:name w:val="Kommentarthema Zchn1"/>
    <w:basedOn w:val="KommentartextZchn1"/>
    <w:link w:val="Kommentarthema"/>
    <w:uiPriority w:val="99"/>
    <w:semiHidden/>
    <w:rsid w:val="00C3154C"/>
    <w:rPr>
      <w:rFonts w:ascii="Calibri" w:eastAsia="SimSun" w:hAnsi="Calibri"/>
      <w:b/>
      <w:bCs/>
      <w:lang w:eastAsia="ar-SA"/>
    </w:rPr>
  </w:style>
  <w:style w:type="character" w:customStyle="1" w:styleId="NichtaufgelsteErwhnung1">
    <w:name w:val="Nicht aufgelöste Erwähnung1"/>
    <w:basedOn w:val="Absatz-Standardschriftart"/>
    <w:uiPriority w:val="99"/>
    <w:semiHidden/>
    <w:unhideWhenUsed/>
    <w:rsid w:val="00C3154C"/>
    <w:rPr>
      <w:color w:val="605E5C"/>
      <w:shd w:val="clear" w:color="auto" w:fill="E1DFDD"/>
    </w:rPr>
  </w:style>
  <w:style w:type="character" w:styleId="BesuchterLink">
    <w:name w:val="FollowedHyperlink"/>
    <w:basedOn w:val="Absatz-Standardschriftart"/>
    <w:uiPriority w:val="99"/>
    <w:semiHidden/>
    <w:unhideWhenUsed/>
    <w:rsid w:val="0054278C"/>
    <w:rPr>
      <w:color w:val="954F72" w:themeColor="followedHyperlink"/>
      <w:u w:val="single"/>
    </w:rPr>
  </w:style>
  <w:style w:type="paragraph" w:styleId="berarbeitung">
    <w:name w:val="Revision"/>
    <w:hidden/>
    <w:uiPriority w:val="99"/>
    <w:semiHidden/>
    <w:rsid w:val="008E7473"/>
    <w:rPr>
      <w:rFonts w:ascii="Calibri" w:eastAsia="SimSun" w:hAnsi="Calibri"/>
      <w:sz w:val="22"/>
      <w:szCs w:val="22"/>
      <w:lang w:eastAsia="ar-SA"/>
    </w:rPr>
  </w:style>
  <w:style w:type="character" w:styleId="NichtaufgelsteErwhnung">
    <w:name w:val="Unresolved Mention"/>
    <w:basedOn w:val="Absatz-Standardschriftart"/>
    <w:uiPriority w:val="99"/>
    <w:semiHidden/>
    <w:unhideWhenUsed/>
    <w:rsid w:val="00F5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iti.org/document/eiti-openness-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ti.org/document/eiti-association-code-of-condu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iti.de/mediathek-dokumen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iti.org/collections/eiti-standard" TargetMode="External"/><Relationship Id="rId4" Type="http://schemas.openxmlformats.org/officeDocument/2006/relationships/settings" Target="settings.xml"/><Relationship Id="rId9" Type="http://schemas.openxmlformats.org/officeDocument/2006/relationships/hyperlink" Target="https://d-eiti.de/eiti-in-deutschland-ziele/"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3880-0D8E-4377-86BB-19A7AA5E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12294</Characters>
  <Application>Microsoft Office Word</Application>
  <DocSecurity>0</DocSecurity>
  <Lines>211</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13972</CharactersWithSpaces>
  <SharedDoc>false</SharedDoc>
  <HLinks>
    <vt:vector size="114" baseType="variant">
      <vt:variant>
        <vt:i4>3145825</vt:i4>
      </vt:variant>
      <vt:variant>
        <vt:i4>57</vt:i4>
      </vt:variant>
      <vt:variant>
        <vt:i4>0</vt:i4>
      </vt:variant>
      <vt:variant>
        <vt:i4>5</vt:i4>
      </vt:variant>
      <vt:variant>
        <vt:lpwstr>http://eiti.org/document/guidance-notes-implementing-countries</vt:lpwstr>
      </vt:variant>
      <vt:variant>
        <vt:lpwstr/>
      </vt:variant>
      <vt:variant>
        <vt:i4>131082</vt:i4>
      </vt:variant>
      <vt:variant>
        <vt:i4>54</vt:i4>
      </vt:variant>
      <vt:variant>
        <vt:i4>0</vt:i4>
      </vt:variant>
      <vt:variant>
        <vt:i4>5</vt:i4>
      </vt:variant>
      <vt:variant>
        <vt:lpwstr>http://eiti.org/document/code-of-conduct</vt:lpwstr>
      </vt:variant>
      <vt:variant>
        <vt:lpwstr/>
      </vt:variant>
      <vt:variant>
        <vt:i4>4587601</vt:i4>
      </vt:variant>
      <vt:variant>
        <vt:i4>51</vt:i4>
      </vt:variant>
      <vt:variant>
        <vt:i4>0</vt:i4>
      </vt:variant>
      <vt:variant>
        <vt:i4>5</vt:i4>
      </vt:variant>
      <vt:variant>
        <vt:lpwstr>http://eiti.org/document/standard</vt:lpwstr>
      </vt:variant>
      <vt:variant>
        <vt:lpwstr/>
      </vt:variant>
      <vt:variant>
        <vt:i4>6881381</vt:i4>
      </vt:variant>
      <vt:variant>
        <vt:i4>48</vt:i4>
      </vt:variant>
      <vt:variant>
        <vt:i4>0</vt:i4>
      </vt:variant>
      <vt:variant>
        <vt:i4>5</vt:i4>
      </vt:variant>
      <vt:variant>
        <vt:lpwstr>http://www.d-eiti.de/wp-content/uploads/2016/05/DE_EITI-STANDARD16v10_Web.pdf</vt:lpwstr>
      </vt:variant>
      <vt:variant>
        <vt:lpwstr/>
      </vt:variant>
      <vt:variant>
        <vt:i4>6881381</vt:i4>
      </vt:variant>
      <vt:variant>
        <vt:i4>45</vt:i4>
      </vt:variant>
      <vt:variant>
        <vt:i4>0</vt:i4>
      </vt:variant>
      <vt:variant>
        <vt:i4>5</vt:i4>
      </vt:variant>
      <vt:variant>
        <vt:lpwstr>http://www.d-eiti.de/wp-content/uploads/2016/05/DE_EITI-STANDARD16v10_Web.pdf</vt:lpwstr>
      </vt:variant>
      <vt:variant>
        <vt:lpwstr/>
      </vt:variant>
      <vt:variant>
        <vt:i4>7995450</vt:i4>
      </vt:variant>
      <vt:variant>
        <vt:i4>42</vt:i4>
      </vt:variant>
      <vt:variant>
        <vt:i4>0</vt:i4>
      </vt:variant>
      <vt:variant>
        <vt:i4>5</vt:i4>
      </vt:variant>
      <vt:variant>
        <vt:lpwstr>http://www.d-eiti.de/de/dokumente/</vt:lpwstr>
      </vt:variant>
      <vt:variant>
        <vt:lpwstr/>
      </vt:variant>
      <vt:variant>
        <vt:i4>3080217</vt:i4>
      </vt:variant>
      <vt:variant>
        <vt:i4>39</vt:i4>
      </vt:variant>
      <vt:variant>
        <vt:i4>0</vt:i4>
      </vt:variant>
      <vt:variant>
        <vt:i4>5</vt:i4>
      </vt:variant>
      <vt:variant>
        <vt:lpwstr>http://www.d-eiti.de/wp-content/uploads/2016/01/Kandidaturantrag-Deutschland_22-12-2015.pdf</vt:lpwstr>
      </vt:variant>
      <vt:variant>
        <vt:lpwstr/>
      </vt:variant>
      <vt:variant>
        <vt:i4>6881381</vt:i4>
      </vt:variant>
      <vt:variant>
        <vt:i4>36</vt:i4>
      </vt:variant>
      <vt:variant>
        <vt:i4>0</vt:i4>
      </vt:variant>
      <vt:variant>
        <vt:i4>5</vt:i4>
      </vt:variant>
      <vt:variant>
        <vt:lpwstr>http://www.d-eiti.de/wp-content/uploads/2016/05/DE_EITI-STANDARD16v10_Web.pdf</vt:lpwstr>
      </vt:variant>
      <vt:variant>
        <vt:lpwstr/>
      </vt:variant>
      <vt:variant>
        <vt:i4>196633</vt:i4>
      </vt:variant>
      <vt:variant>
        <vt:i4>33</vt:i4>
      </vt:variant>
      <vt:variant>
        <vt:i4>0</vt:i4>
      </vt:variant>
      <vt:variant>
        <vt:i4>5</vt:i4>
      </vt:variant>
      <vt:variant>
        <vt:lpwstr>http://www.d-eiti.de/wp-content/uploads/2016/07/Ziele-der-D-EITI.pdf</vt:lpwstr>
      </vt:variant>
      <vt:variant>
        <vt:lpwstr/>
      </vt:variant>
      <vt:variant>
        <vt:i4>1441851</vt:i4>
      </vt:variant>
      <vt:variant>
        <vt:i4>30</vt:i4>
      </vt:variant>
      <vt:variant>
        <vt:i4>0</vt:i4>
      </vt:variant>
      <vt:variant>
        <vt:i4>5</vt:i4>
      </vt:variant>
      <vt:variant>
        <vt:lpwstr/>
      </vt:variant>
      <vt:variant>
        <vt:lpwstr>_Toc409707610</vt:lpwstr>
      </vt:variant>
      <vt:variant>
        <vt:i4>5636136</vt:i4>
      </vt:variant>
      <vt:variant>
        <vt:i4>26</vt:i4>
      </vt:variant>
      <vt:variant>
        <vt:i4>0</vt:i4>
      </vt:variant>
      <vt:variant>
        <vt:i4>5</vt:i4>
      </vt:variant>
      <vt:variant>
        <vt:lpwstr/>
      </vt:variant>
      <vt:variant>
        <vt:lpwstr>__RefHeading__1728_1325809996</vt:lpwstr>
      </vt:variant>
      <vt:variant>
        <vt:i4>5767208</vt:i4>
      </vt:variant>
      <vt:variant>
        <vt:i4>23</vt:i4>
      </vt:variant>
      <vt:variant>
        <vt:i4>0</vt:i4>
      </vt:variant>
      <vt:variant>
        <vt:i4>5</vt:i4>
      </vt:variant>
      <vt:variant>
        <vt:lpwstr/>
      </vt:variant>
      <vt:variant>
        <vt:lpwstr>__RefHeading__1726_1325809996</vt:lpwstr>
      </vt:variant>
      <vt:variant>
        <vt:i4>5898280</vt:i4>
      </vt:variant>
      <vt:variant>
        <vt:i4>20</vt:i4>
      </vt:variant>
      <vt:variant>
        <vt:i4>0</vt:i4>
      </vt:variant>
      <vt:variant>
        <vt:i4>5</vt:i4>
      </vt:variant>
      <vt:variant>
        <vt:lpwstr/>
      </vt:variant>
      <vt:variant>
        <vt:lpwstr>__RefHeading__1724_1325809996</vt:lpwstr>
      </vt:variant>
      <vt:variant>
        <vt:i4>6029352</vt:i4>
      </vt:variant>
      <vt:variant>
        <vt:i4>17</vt:i4>
      </vt:variant>
      <vt:variant>
        <vt:i4>0</vt:i4>
      </vt:variant>
      <vt:variant>
        <vt:i4>5</vt:i4>
      </vt:variant>
      <vt:variant>
        <vt:lpwstr/>
      </vt:variant>
      <vt:variant>
        <vt:lpwstr>__RefHeading__1722_1325809996</vt:lpwstr>
      </vt:variant>
      <vt:variant>
        <vt:i4>6160424</vt:i4>
      </vt:variant>
      <vt:variant>
        <vt:i4>14</vt:i4>
      </vt:variant>
      <vt:variant>
        <vt:i4>0</vt:i4>
      </vt:variant>
      <vt:variant>
        <vt:i4>5</vt:i4>
      </vt:variant>
      <vt:variant>
        <vt:lpwstr/>
      </vt:variant>
      <vt:variant>
        <vt:lpwstr>__RefHeading__1720_1325809996</vt:lpwstr>
      </vt:variant>
      <vt:variant>
        <vt:i4>5636139</vt:i4>
      </vt:variant>
      <vt:variant>
        <vt:i4>11</vt:i4>
      </vt:variant>
      <vt:variant>
        <vt:i4>0</vt:i4>
      </vt:variant>
      <vt:variant>
        <vt:i4>5</vt:i4>
      </vt:variant>
      <vt:variant>
        <vt:lpwstr/>
      </vt:variant>
      <vt:variant>
        <vt:lpwstr>__RefHeading__1718_1325809996</vt:lpwstr>
      </vt:variant>
      <vt:variant>
        <vt:i4>5767211</vt:i4>
      </vt:variant>
      <vt:variant>
        <vt:i4>8</vt:i4>
      </vt:variant>
      <vt:variant>
        <vt:i4>0</vt:i4>
      </vt:variant>
      <vt:variant>
        <vt:i4>5</vt:i4>
      </vt:variant>
      <vt:variant>
        <vt:lpwstr/>
      </vt:variant>
      <vt:variant>
        <vt:lpwstr>__RefHeading__1716_1325809996</vt:lpwstr>
      </vt:variant>
      <vt:variant>
        <vt:i4>5898283</vt:i4>
      </vt:variant>
      <vt:variant>
        <vt:i4>5</vt:i4>
      </vt:variant>
      <vt:variant>
        <vt:i4>0</vt:i4>
      </vt:variant>
      <vt:variant>
        <vt:i4>5</vt:i4>
      </vt:variant>
      <vt:variant>
        <vt:lpwstr/>
      </vt:variant>
      <vt:variant>
        <vt:lpwstr>__RefHeading__1714_1325809996</vt:lpwstr>
      </vt:variant>
      <vt:variant>
        <vt:i4>6029355</vt:i4>
      </vt:variant>
      <vt:variant>
        <vt:i4>2</vt:i4>
      </vt:variant>
      <vt:variant>
        <vt:i4>0</vt:i4>
      </vt:variant>
      <vt:variant>
        <vt:i4>5</vt:i4>
      </vt:variant>
      <vt:variant>
        <vt:lpwstr/>
      </vt:variant>
      <vt:variant>
        <vt:lpwstr>__RefHeading__1712_1325809996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cp:lastModifiedBy>Paul, Felicitas GIZ</cp:lastModifiedBy>
  <cp:revision>4</cp:revision>
  <dcterms:created xsi:type="dcterms:W3CDTF">2023-08-28T13:26:00Z</dcterms:created>
  <dcterms:modified xsi:type="dcterms:W3CDTF">2023-09-21T15:15:00Z</dcterms:modified>
</cp:coreProperties>
</file>