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AA3C" w14:textId="77777777" w:rsidR="00093D7C" w:rsidRPr="00BA2A39" w:rsidRDefault="00093D7C" w:rsidP="0067015A">
      <w:pPr>
        <w:tabs>
          <w:tab w:val="left" w:pos="5011"/>
        </w:tabs>
        <w:spacing w:before="12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P</w:t>
      </w:r>
      <w:r w:rsidRPr="004A4930">
        <w:rPr>
          <w:rFonts w:cs="Arial"/>
          <w:b/>
          <w:sz w:val="28"/>
          <w:szCs w:val="28"/>
          <w:u w:val="single"/>
        </w:rPr>
        <w:t>rotoko</w:t>
      </w:r>
      <w:r w:rsidRPr="00BA2A39">
        <w:rPr>
          <w:rFonts w:cs="Arial"/>
          <w:b/>
          <w:sz w:val="28"/>
          <w:szCs w:val="28"/>
          <w:u w:val="single"/>
        </w:rPr>
        <w:t>ll:</w:t>
      </w:r>
      <w:r w:rsidR="005944B4">
        <w:rPr>
          <w:rFonts w:cs="Arial"/>
          <w:b/>
          <w:sz w:val="28"/>
          <w:szCs w:val="28"/>
          <w:u w:val="single"/>
        </w:rPr>
        <w:t xml:space="preserve"> Austausch kritische Punkte D-EITI Validierung</w:t>
      </w:r>
    </w:p>
    <w:p w14:paraId="1F8FAA33" w14:textId="77777777" w:rsidR="00C93BBA" w:rsidRPr="00BA2A39" w:rsidRDefault="00C93BBA" w:rsidP="0067015A">
      <w:pPr>
        <w:tabs>
          <w:tab w:val="left" w:pos="5011"/>
        </w:tabs>
        <w:spacing w:before="120"/>
        <w:rPr>
          <w:rFonts w:cs="Arial"/>
          <w:b/>
        </w:rPr>
      </w:pPr>
      <w:r w:rsidRPr="00BA2A39">
        <w:rPr>
          <w:rFonts w:cs="Arial"/>
          <w:b/>
        </w:rPr>
        <w:t xml:space="preserve">Datum: </w:t>
      </w:r>
      <w:r w:rsidR="00637D94">
        <w:rPr>
          <w:rFonts w:cs="Arial"/>
        </w:rPr>
        <w:t>0</w:t>
      </w:r>
      <w:r w:rsidR="005944B4">
        <w:rPr>
          <w:rFonts w:cs="Arial"/>
        </w:rPr>
        <w:t>6</w:t>
      </w:r>
      <w:r w:rsidRPr="00BA2A39">
        <w:rPr>
          <w:rFonts w:cs="Arial"/>
        </w:rPr>
        <w:t>.</w:t>
      </w:r>
      <w:r w:rsidR="00637D94">
        <w:rPr>
          <w:rFonts w:cs="Arial"/>
        </w:rPr>
        <w:t>0</w:t>
      </w:r>
      <w:r w:rsidR="005944B4">
        <w:rPr>
          <w:rFonts w:cs="Arial"/>
        </w:rPr>
        <w:t>9</w:t>
      </w:r>
      <w:r w:rsidRPr="00BA2A39">
        <w:rPr>
          <w:rFonts w:cs="Arial"/>
        </w:rPr>
        <w:t>.202</w:t>
      </w:r>
      <w:r w:rsidR="00A53139">
        <w:rPr>
          <w:rFonts w:cs="Arial"/>
        </w:rPr>
        <w:t>3</w:t>
      </w:r>
      <w:r w:rsidRPr="00BA2A39">
        <w:rPr>
          <w:rFonts w:cs="Arial"/>
        </w:rPr>
        <w:t xml:space="preserve"> </w:t>
      </w:r>
      <w:r>
        <w:rPr>
          <w:rFonts w:cs="Arial"/>
        </w:rPr>
        <w:t>1</w:t>
      </w:r>
      <w:r w:rsidR="00AA06EA">
        <w:rPr>
          <w:rFonts w:cs="Arial"/>
        </w:rPr>
        <w:t>0</w:t>
      </w:r>
      <w:r>
        <w:rPr>
          <w:rFonts w:cs="Arial"/>
        </w:rPr>
        <w:t>:00</w:t>
      </w:r>
      <w:r w:rsidRPr="00BA2A39">
        <w:rPr>
          <w:rFonts w:cs="Arial"/>
        </w:rPr>
        <w:t xml:space="preserve"> - 1</w:t>
      </w:r>
      <w:r w:rsidR="00AA06EA">
        <w:rPr>
          <w:rFonts w:cs="Arial"/>
        </w:rPr>
        <w:t>1</w:t>
      </w:r>
      <w:r w:rsidRPr="00BA2A39">
        <w:rPr>
          <w:rFonts w:cs="Arial"/>
        </w:rPr>
        <w:t>:</w:t>
      </w:r>
      <w:r w:rsidR="00AA06EA">
        <w:rPr>
          <w:rFonts w:cs="Arial"/>
        </w:rPr>
        <w:t>3</w:t>
      </w:r>
      <w:r w:rsidR="00A53139">
        <w:rPr>
          <w:rFonts w:cs="Arial"/>
        </w:rPr>
        <w:t>0</w:t>
      </w:r>
      <w:r w:rsidRPr="00BA2A39">
        <w:rPr>
          <w:rFonts w:cs="Arial"/>
        </w:rPr>
        <w:t xml:space="preserve"> Uhr</w:t>
      </w:r>
    </w:p>
    <w:p w14:paraId="6581174E" w14:textId="77777777" w:rsidR="00C93BBA" w:rsidRPr="00BA2A39" w:rsidRDefault="00C93BBA" w:rsidP="0067015A">
      <w:pPr>
        <w:tabs>
          <w:tab w:val="left" w:pos="5011"/>
        </w:tabs>
        <w:spacing w:before="120"/>
        <w:rPr>
          <w:rFonts w:cs="Arial"/>
          <w:b/>
        </w:rPr>
      </w:pPr>
      <w:r w:rsidRPr="00BA2A39">
        <w:rPr>
          <w:rFonts w:cs="Arial"/>
          <w:b/>
        </w:rPr>
        <w:t>Virtuell via Microsoft Teams</w:t>
      </w:r>
    </w:p>
    <w:p w14:paraId="2467EEB1" w14:textId="2B234F7A" w:rsidR="00C93BBA" w:rsidRDefault="00C93BBA" w:rsidP="0067015A">
      <w:pPr>
        <w:tabs>
          <w:tab w:val="left" w:pos="5011"/>
        </w:tabs>
        <w:spacing w:before="120"/>
        <w:rPr>
          <w:rFonts w:cs="Arial"/>
          <w:bCs/>
        </w:rPr>
      </w:pPr>
      <w:r w:rsidRPr="00BA2A39">
        <w:rPr>
          <w:rFonts w:cs="Arial"/>
          <w:b/>
        </w:rPr>
        <w:t>Teilnehmende:</w:t>
      </w:r>
      <w:r>
        <w:rPr>
          <w:rFonts w:cs="Arial"/>
        </w:rPr>
        <w:t xml:space="preserve"> </w:t>
      </w:r>
      <w:r w:rsidR="00AA06EA">
        <w:rPr>
          <w:rFonts w:cs="Arial"/>
        </w:rPr>
        <w:t xml:space="preserve">Alena Baasch (BMWK), </w:t>
      </w:r>
      <w:r w:rsidR="00FD1D74">
        <w:rPr>
          <w:rFonts w:cs="Arial"/>
          <w:bCs/>
        </w:rPr>
        <w:t>Klaus Reinhold (BMWK)</w:t>
      </w:r>
      <w:r w:rsidR="00001AF0">
        <w:rPr>
          <w:rFonts w:cs="Arial"/>
          <w:bCs/>
        </w:rPr>
        <w:t xml:space="preserve">, </w:t>
      </w:r>
      <w:r w:rsidR="000372F6">
        <w:rPr>
          <w:rFonts w:cs="Arial"/>
          <w:bCs/>
        </w:rPr>
        <w:t xml:space="preserve">Bodo </w:t>
      </w:r>
      <w:proofErr w:type="spellStart"/>
      <w:r w:rsidR="000372F6">
        <w:rPr>
          <w:rFonts w:cs="Arial"/>
          <w:bCs/>
        </w:rPr>
        <w:t>Bajorat</w:t>
      </w:r>
      <w:proofErr w:type="spellEnd"/>
      <w:r w:rsidR="000372F6">
        <w:rPr>
          <w:rFonts w:cs="Arial"/>
          <w:bCs/>
        </w:rPr>
        <w:t xml:space="preserve"> (BMF),</w:t>
      </w:r>
      <w:r w:rsidR="00001AF0">
        <w:rPr>
          <w:rFonts w:cs="Arial"/>
          <w:bCs/>
        </w:rPr>
        <w:t xml:space="preserve"> Stefan Steinicke (BDI),</w:t>
      </w:r>
      <w:r w:rsidRPr="00DB453A">
        <w:rPr>
          <w:rFonts w:cs="Arial"/>
          <w:bCs/>
        </w:rPr>
        <w:t xml:space="preserve"> </w:t>
      </w:r>
      <w:r w:rsidR="005944B4">
        <w:rPr>
          <w:rFonts w:cs="Arial"/>
          <w:bCs/>
        </w:rPr>
        <w:t xml:space="preserve">Friedrich Wilhelm Wagner (LAB), Jürgen Maier (FUE), </w:t>
      </w:r>
      <w:r w:rsidR="000372F6">
        <w:rPr>
          <w:rFonts w:cs="Arial"/>
          <w:bCs/>
        </w:rPr>
        <w:t xml:space="preserve">Anika Bender (FUE), </w:t>
      </w:r>
      <w:proofErr w:type="spellStart"/>
      <w:r w:rsidR="005944B4">
        <w:rPr>
          <w:rFonts w:cs="Arial"/>
          <w:bCs/>
        </w:rPr>
        <w:t>Micka</w:t>
      </w:r>
      <w:r w:rsidR="000372F6">
        <w:rPr>
          <w:rFonts w:cs="Arial"/>
          <w:bCs/>
        </w:rPr>
        <w:t>e</w:t>
      </w:r>
      <w:r w:rsidR="005944B4">
        <w:rPr>
          <w:rFonts w:cs="Arial"/>
          <w:bCs/>
        </w:rPr>
        <w:t>l</w:t>
      </w:r>
      <w:proofErr w:type="spellEnd"/>
      <w:r w:rsidR="005944B4">
        <w:rPr>
          <w:rFonts w:cs="Arial"/>
          <w:bCs/>
        </w:rPr>
        <w:t xml:space="preserve"> </w:t>
      </w:r>
      <w:proofErr w:type="spellStart"/>
      <w:r w:rsidR="005944B4">
        <w:rPr>
          <w:rFonts w:cs="Arial"/>
          <w:bCs/>
        </w:rPr>
        <w:t>Roumegoux</w:t>
      </w:r>
      <w:proofErr w:type="spellEnd"/>
      <w:r w:rsidR="005944B4">
        <w:rPr>
          <w:rFonts w:cs="Arial"/>
          <w:bCs/>
        </w:rPr>
        <w:t xml:space="preserve"> </w:t>
      </w:r>
      <w:proofErr w:type="spellStart"/>
      <w:r w:rsidR="005944B4">
        <w:rPr>
          <w:rFonts w:cs="Arial"/>
          <w:bCs/>
        </w:rPr>
        <w:t>Rouvelle</w:t>
      </w:r>
      <w:proofErr w:type="spellEnd"/>
      <w:r w:rsidR="000372F6">
        <w:rPr>
          <w:rFonts w:cs="Arial"/>
          <w:bCs/>
        </w:rPr>
        <w:t xml:space="preserve"> (TI), Walter Palmetsho</w:t>
      </w:r>
      <w:r w:rsidR="00A62B99">
        <w:rPr>
          <w:rFonts w:cs="Arial"/>
          <w:bCs/>
        </w:rPr>
        <w:t>fer (</w:t>
      </w:r>
      <w:r w:rsidR="001129B1">
        <w:rPr>
          <w:rFonts w:cs="Arial"/>
          <w:bCs/>
        </w:rPr>
        <w:t>OKF</w:t>
      </w:r>
      <w:r w:rsidR="00A62B99">
        <w:rPr>
          <w:rFonts w:cs="Arial"/>
          <w:bCs/>
        </w:rPr>
        <w:t xml:space="preserve">), </w:t>
      </w:r>
      <w:r w:rsidR="000372F6">
        <w:rPr>
          <w:rFonts w:cs="Arial"/>
          <w:bCs/>
        </w:rPr>
        <w:t xml:space="preserve">Markus Zeise (Wintershall Dea AG), Birgit Schroeckh (DEBRIV), </w:t>
      </w:r>
      <w:r w:rsidR="00A62B99">
        <w:rPr>
          <w:rFonts w:cs="Arial"/>
          <w:bCs/>
        </w:rPr>
        <w:t xml:space="preserve">Jana </w:t>
      </w:r>
      <w:proofErr w:type="gramStart"/>
      <w:r w:rsidR="00A62B99">
        <w:rPr>
          <w:rFonts w:cs="Arial"/>
          <w:bCs/>
        </w:rPr>
        <w:t>Leutner</w:t>
      </w:r>
      <w:r w:rsidR="00A42289">
        <w:rPr>
          <w:rFonts w:cs="Arial"/>
          <w:bCs/>
        </w:rPr>
        <w:t xml:space="preserve"> </w:t>
      </w:r>
      <w:r w:rsidR="00A62B99">
        <w:rPr>
          <w:rFonts w:cs="Arial"/>
          <w:bCs/>
        </w:rPr>
        <w:t>,</w:t>
      </w:r>
      <w:proofErr w:type="gramEnd"/>
      <w:r w:rsidR="00A62B99">
        <w:rPr>
          <w:rFonts w:cs="Arial"/>
          <w:bCs/>
        </w:rPr>
        <w:t xml:space="preserve"> </w:t>
      </w:r>
      <w:r w:rsidRPr="00DB453A">
        <w:rPr>
          <w:rFonts w:cs="Arial"/>
          <w:bCs/>
        </w:rPr>
        <w:t xml:space="preserve">Mareike Göhler-Robus (D-EITI Sekretariat), </w:t>
      </w:r>
      <w:r w:rsidR="00E573A4">
        <w:rPr>
          <w:rFonts w:cs="Arial"/>
          <w:bCs/>
        </w:rPr>
        <w:t>Torge Bartscht (D-EITI Sekretariat)</w:t>
      </w:r>
      <w:r w:rsidR="00AA06EA">
        <w:rPr>
          <w:rFonts w:cs="Arial"/>
          <w:bCs/>
        </w:rPr>
        <w:t xml:space="preserve">, </w:t>
      </w:r>
      <w:r w:rsidR="000372F6">
        <w:rPr>
          <w:rFonts w:cs="Arial"/>
          <w:bCs/>
        </w:rPr>
        <w:t>Klara Giesler</w:t>
      </w:r>
      <w:r w:rsidR="00AA06EA">
        <w:rPr>
          <w:rFonts w:cs="Arial"/>
          <w:bCs/>
        </w:rPr>
        <w:t xml:space="preserve"> (D-EITI Sekretariat)</w:t>
      </w:r>
    </w:p>
    <w:p w14:paraId="04ACD217" w14:textId="314EEEB2" w:rsidR="00146483" w:rsidRPr="00FF1776" w:rsidRDefault="00146483" w:rsidP="0067015A">
      <w:pPr>
        <w:tabs>
          <w:tab w:val="left" w:pos="5011"/>
        </w:tabs>
        <w:spacing w:before="120"/>
        <w:rPr>
          <w:rFonts w:cs="Arial"/>
          <w:bCs/>
        </w:rPr>
      </w:pPr>
      <w:r w:rsidRPr="00FF1776">
        <w:rPr>
          <w:rFonts w:cs="Arial"/>
          <w:b/>
        </w:rPr>
        <w:t>Anlage:</w:t>
      </w:r>
      <w:r w:rsidRPr="00FF1776">
        <w:rPr>
          <w:rFonts w:cs="Arial"/>
          <w:bCs/>
        </w:rPr>
        <w:t xml:space="preserve"> </w:t>
      </w:r>
      <w:r w:rsidR="00FF1776" w:rsidRPr="00FF1776">
        <w:rPr>
          <w:rFonts w:cs="Arial"/>
          <w:bCs/>
        </w:rPr>
        <w:t>Präsentation zu Validierungsformularen</w:t>
      </w:r>
    </w:p>
    <w:p w14:paraId="423CD098" w14:textId="77777777" w:rsidR="00C93BBA" w:rsidRDefault="00C93BBA" w:rsidP="0067015A">
      <w:pPr>
        <w:spacing w:before="120"/>
      </w:pPr>
    </w:p>
    <w:p w14:paraId="5A32A73B" w14:textId="6BB844DF" w:rsidR="00841DE7" w:rsidRDefault="00515D36" w:rsidP="001129B1">
      <w:pPr>
        <w:spacing w:before="120" w:line="360" w:lineRule="auto"/>
      </w:pPr>
      <w:r w:rsidRPr="002935F2">
        <w:rPr>
          <w:u w:val="single"/>
        </w:rPr>
        <w:t>Ziel</w:t>
      </w:r>
      <w:r>
        <w:t xml:space="preserve"> des</w:t>
      </w:r>
      <w:r w:rsidR="00A62B99">
        <w:t xml:space="preserve"> Austausches ist es, kritische Punkte in Bezug auf die bevorstehende Validierung zu </w:t>
      </w:r>
      <w:r w:rsidR="00356F47">
        <w:t xml:space="preserve">diskutieren </w:t>
      </w:r>
      <w:r w:rsidR="00A42289">
        <w:t xml:space="preserve">sowie Informationen </w:t>
      </w:r>
      <w:r w:rsidR="00841DE7">
        <w:t xml:space="preserve">und Unterstützung </w:t>
      </w:r>
      <w:r w:rsidR="00A42289">
        <w:t>zu den Validierungstemplates bereitzustellen.</w:t>
      </w:r>
      <w:r w:rsidR="00BA24DB">
        <w:t xml:space="preserve"> </w:t>
      </w:r>
    </w:p>
    <w:p w14:paraId="64465B4C" w14:textId="77777777" w:rsidR="00AD202C" w:rsidRPr="00A42289" w:rsidRDefault="00A42289" w:rsidP="0067015A">
      <w:pPr>
        <w:pStyle w:val="berschrift1"/>
        <w:spacing w:before="120" w:after="0"/>
        <w:rPr>
          <w:color w:val="002060"/>
          <w:szCs w:val="24"/>
        </w:rPr>
      </w:pPr>
      <w:r w:rsidRPr="00A42289">
        <w:rPr>
          <w:color w:val="002060"/>
          <w:szCs w:val="24"/>
        </w:rPr>
        <w:t>Strategischer Austausc</w:t>
      </w:r>
      <w:r>
        <w:rPr>
          <w:color w:val="002060"/>
          <w:szCs w:val="24"/>
        </w:rPr>
        <w:t xml:space="preserve">h zu </w:t>
      </w:r>
      <w:r w:rsidR="00BA24DB" w:rsidRPr="00A42289">
        <w:rPr>
          <w:color w:val="002060"/>
          <w:szCs w:val="24"/>
        </w:rPr>
        <w:t xml:space="preserve">den Stellungnahmen </w:t>
      </w:r>
      <w:r>
        <w:rPr>
          <w:color w:val="002060"/>
          <w:szCs w:val="24"/>
        </w:rPr>
        <w:t xml:space="preserve">zu Standardanforderung </w:t>
      </w:r>
      <w:r w:rsidR="00BA24DB" w:rsidRPr="00A42289">
        <w:rPr>
          <w:color w:val="002060"/>
          <w:szCs w:val="24"/>
        </w:rPr>
        <w:t>2.5 (</w:t>
      </w:r>
      <w:proofErr w:type="spellStart"/>
      <w:r w:rsidR="00BA24DB" w:rsidRPr="00A42289">
        <w:rPr>
          <w:color w:val="002060"/>
          <w:szCs w:val="24"/>
        </w:rPr>
        <w:t>Beneficial</w:t>
      </w:r>
      <w:proofErr w:type="spellEnd"/>
      <w:r w:rsidR="00BA24DB" w:rsidRPr="00A42289">
        <w:rPr>
          <w:color w:val="002060"/>
          <w:szCs w:val="24"/>
        </w:rPr>
        <w:t xml:space="preserve"> Ownership), 4.7 (Level </w:t>
      </w:r>
      <w:proofErr w:type="spellStart"/>
      <w:r w:rsidR="00BA24DB" w:rsidRPr="00A42289">
        <w:rPr>
          <w:color w:val="002060"/>
          <w:szCs w:val="24"/>
        </w:rPr>
        <w:t>of</w:t>
      </w:r>
      <w:proofErr w:type="spellEnd"/>
      <w:r w:rsidR="00BA24DB" w:rsidRPr="00A42289">
        <w:rPr>
          <w:color w:val="002060"/>
          <w:szCs w:val="24"/>
        </w:rPr>
        <w:t xml:space="preserve"> </w:t>
      </w:r>
      <w:proofErr w:type="spellStart"/>
      <w:r w:rsidR="00BA24DB" w:rsidRPr="00A42289">
        <w:rPr>
          <w:color w:val="002060"/>
          <w:szCs w:val="24"/>
        </w:rPr>
        <w:t>disaggregation</w:t>
      </w:r>
      <w:proofErr w:type="spellEnd"/>
      <w:r w:rsidR="00BA24DB" w:rsidRPr="00A42289">
        <w:rPr>
          <w:color w:val="002060"/>
          <w:szCs w:val="24"/>
        </w:rPr>
        <w:t>) und 3.2 (</w:t>
      </w:r>
      <w:proofErr w:type="spellStart"/>
      <w:r w:rsidR="00BA24DB" w:rsidRPr="00A42289">
        <w:rPr>
          <w:color w:val="002060"/>
          <w:szCs w:val="24"/>
        </w:rPr>
        <w:t>Production</w:t>
      </w:r>
      <w:proofErr w:type="spellEnd"/>
      <w:r w:rsidR="00BA24DB" w:rsidRPr="00A42289">
        <w:rPr>
          <w:color w:val="002060"/>
          <w:szCs w:val="24"/>
        </w:rPr>
        <w:t xml:space="preserve"> </w:t>
      </w:r>
      <w:proofErr w:type="spellStart"/>
      <w:r w:rsidR="00BA24DB" w:rsidRPr="00A42289">
        <w:rPr>
          <w:color w:val="002060"/>
          <w:szCs w:val="24"/>
        </w:rPr>
        <w:t>data</w:t>
      </w:r>
      <w:proofErr w:type="spellEnd"/>
      <w:r w:rsidR="00BA24DB" w:rsidRPr="00A42289">
        <w:rPr>
          <w:color w:val="002060"/>
          <w:szCs w:val="24"/>
        </w:rPr>
        <w:t xml:space="preserve">) </w:t>
      </w:r>
    </w:p>
    <w:p w14:paraId="7A295CC8" w14:textId="77777777" w:rsidR="00B15941" w:rsidRPr="00A42289" w:rsidRDefault="00B15941" w:rsidP="00B15941"/>
    <w:p w14:paraId="1FD94D42" w14:textId="77777777" w:rsidR="00B15941" w:rsidRPr="002935F2" w:rsidRDefault="00B15941" w:rsidP="00B15941">
      <w:pPr>
        <w:rPr>
          <w:b/>
          <w:bCs/>
        </w:rPr>
      </w:pPr>
      <w:r w:rsidRPr="002935F2">
        <w:rPr>
          <w:b/>
          <w:bCs/>
        </w:rPr>
        <w:t xml:space="preserve">2.5 </w:t>
      </w:r>
      <w:proofErr w:type="spellStart"/>
      <w:r w:rsidRPr="002935F2">
        <w:rPr>
          <w:b/>
          <w:bCs/>
        </w:rPr>
        <w:t>Beneficial</w:t>
      </w:r>
      <w:proofErr w:type="spellEnd"/>
      <w:r w:rsidRPr="002935F2">
        <w:rPr>
          <w:b/>
          <w:bCs/>
        </w:rPr>
        <w:t xml:space="preserve"> Ownership</w:t>
      </w:r>
    </w:p>
    <w:p w14:paraId="6E75A654" w14:textId="571DE08B" w:rsidR="00D30675" w:rsidRDefault="00BA24DB" w:rsidP="001129B1">
      <w:pPr>
        <w:spacing w:before="120" w:line="360" w:lineRule="auto"/>
        <w:ind w:left="142"/>
      </w:pPr>
      <w:r>
        <w:t xml:space="preserve">Die </w:t>
      </w:r>
      <w:r w:rsidRPr="001279F2">
        <w:rPr>
          <w:u w:val="single"/>
        </w:rPr>
        <w:t>Regierung</w:t>
      </w:r>
      <w:r>
        <w:t xml:space="preserve"> </w:t>
      </w:r>
      <w:r w:rsidR="00476D74">
        <w:t>erläutert</w:t>
      </w:r>
      <w:r w:rsidR="00D0526D">
        <w:t xml:space="preserve"> die </w:t>
      </w:r>
      <w:r>
        <w:t>Stellungnahme</w:t>
      </w:r>
      <w:r w:rsidR="00476D74">
        <w:t xml:space="preserve"> des BMWK</w:t>
      </w:r>
      <w:r>
        <w:t xml:space="preserve"> zu</w:t>
      </w:r>
      <w:r w:rsidR="00D0526D">
        <w:t>r</w:t>
      </w:r>
      <w:r>
        <w:t xml:space="preserve"> Standardanforderung 2.5 </w:t>
      </w:r>
      <w:r w:rsidR="00810EDA">
        <w:t>‚</w:t>
      </w:r>
      <w:proofErr w:type="spellStart"/>
      <w:r w:rsidR="00810EDA">
        <w:t>Beneficial</w:t>
      </w:r>
      <w:proofErr w:type="spellEnd"/>
      <w:r w:rsidR="00810EDA">
        <w:t xml:space="preserve"> Ownership‘</w:t>
      </w:r>
      <w:r w:rsidR="00776E19">
        <w:t xml:space="preserve"> </w:t>
      </w:r>
      <w:r w:rsidR="00D0526D">
        <w:t xml:space="preserve">in Verbindung mit </w:t>
      </w:r>
      <w:r w:rsidR="00810EDA">
        <w:t xml:space="preserve">dem </w:t>
      </w:r>
      <w:proofErr w:type="gramStart"/>
      <w:r w:rsidR="00810EDA">
        <w:t>EuGH Urteil</w:t>
      </w:r>
      <w:proofErr w:type="gramEnd"/>
      <w:r w:rsidR="00810EDA">
        <w:t xml:space="preserve"> vom 22.11.2022.</w:t>
      </w:r>
      <w:r w:rsidR="00356F47">
        <w:t xml:space="preserve"> </w:t>
      </w:r>
      <w:r w:rsidR="00D0526D">
        <w:t>D</w:t>
      </w:r>
      <w:r w:rsidR="00356F47">
        <w:t xml:space="preserve">ie Stellungnahme </w:t>
      </w:r>
      <w:r w:rsidR="00D0526D">
        <w:t>informiert darüber</w:t>
      </w:r>
      <w:r w:rsidR="00356F47">
        <w:t xml:space="preserve">, dass in Deutschland neben dem Transparenzregister weitere Möglichkeiten zur Verfügung stehen, um Informationen über </w:t>
      </w:r>
      <w:proofErr w:type="gramStart"/>
      <w:r w:rsidR="00356F47">
        <w:t>Wirtschaftlich</w:t>
      </w:r>
      <w:proofErr w:type="gramEnd"/>
      <w:r w:rsidR="00356F47">
        <w:t xml:space="preserve"> Berechtigte von Unternehmen zu gewinnen.</w:t>
      </w:r>
      <w:r w:rsidR="00833463" w:rsidRPr="00833463">
        <w:t xml:space="preserve"> </w:t>
      </w:r>
      <w:r w:rsidR="00D0526D" w:rsidRPr="001A1838">
        <w:rPr>
          <w:rFonts w:cs="Arial"/>
          <w:szCs w:val="20"/>
          <w:u w:val="single"/>
        </w:rPr>
        <w:t>Alle zugänglichen Verzeichnisse können der Öffentlichkeit dazu dienen, wirtschaftlich Berechtigte aufzufinden.</w:t>
      </w:r>
      <w:r w:rsidR="00D0526D" w:rsidRPr="00987085">
        <w:rPr>
          <w:rFonts w:cs="Arial"/>
          <w:szCs w:val="20"/>
        </w:rPr>
        <w:t xml:space="preserve"> Der Aufwand kann je nach Rechtsform des Unternehmens und der genauen Beteiligungsstruktur (z.B. bei Beteiligungsketten) jedoch unterschiedlich sein.</w:t>
      </w:r>
      <w:r w:rsidR="00833463">
        <w:t xml:space="preserve"> Der</w:t>
      </w:r>
      <w:r w:rsidR="00833463" w:rsidRPr="00833463">
        <w:t xml:space="preserve"> EuGH hat nur die Rechtslage in Bezug auf die Geldwäscherichtlinie beurteilt</w:t>
      </w:r>
      <w:r w:rsidR="00833463">
        <w:t>, welches nur Einfluss auf die Offenlegung über das deutsche Transparenzregister hat.</w:t>
      </w:r>
    </w:p>
    <w:p w14:paraId="327ADE0D" w14:textId="77777777" w:rsidR="00476D74" w:rsidRDefault="00476D74" w:rsidP="001129B1">
      <w:pPr>
        <w:spacing w:before="120" w:line="360" w:lineRule="auto"/>
        <w:ind w:left="142"/>
      </w:pPr>
      <w:r>
        <w:t>Auf Anregung aus dem Regierungskreis wird BMWK die Stellungnahme nochmal überarbeiten. Insbesondere ist herauszustellen, dass DEU keinen Einzelgang in der EU macht.</w:t>
      </w:r>
    </w:p>
    <w:p w14:paraId="2EA5642D" w14:textId="77777777" w:rsidR="00356F47" w:rsidRDefault="00356F47" w:rsidP="001129B1">
      <w:pPr>
        <w:spacing w:before="120" w:line="360" w:lineRule="auto"/>
        <w:ind w:left="142"/>
      </w:pPr>
      <w:r>
        <w:t xml:space="preserve">Diskutiert wird, ob die Unternehmen der rohstoffgewinnenden Industrie in Deutschland Informationen zu ihren Wirtschaftlich Berechtigten direkt über die D-EITI Berichterstattung zur Verfügung stellen könnten. </w:t>
      </w:r>
    </w:p>
    <w:p w14:paraId="1A00E8D1" w14:textId="77777777" w:rsidR="00CF176E" w:rsidRDefault="001279F2" w:rsidP="001129B1">
      <w:pPr>
        <w:spacing w:before="120" w:line="360" w:lineRule="auto"/>
        <w:ind w:left="142"/>
      </w:pPr>
      <w:r>
        <w:t xml:space="preserve">Die </w:t>
      </w:r>
      <w:r w:rsidRPr="001279F2">
        <w:rPr>
          <w:u w:val="single"/>
        </w:rPr>
        <w:t>Privatwirtschaft</w:t>
      </w:r>
      <w:r>
        <w:t xml:space="preserve"> verweist </w:t>
      </w:r>
      <w:r w:rsidR="00BA5CE1">
        <w:t xml:space="preserve">neben dem hohen Aufwand </w:t>
      </w:r>
      <w:r w:rsidR="00841DE7">
        <w:t xml:space="preserve">für eine Direktabfrage für den gesamten Rohstoffsektor </w:t>
      </w:r>
      <w:r w:rsidR="00BA5CE1">
        <w:t>auf die rechtlichen Hürden,</w:t>
      </w:r>
      <w:r>
        <w:t xml:space="preserve"> </w:t>
      </w:r>
      <w:r w:rsidR="00BA5CE1">
        <w:t xml:space="preserve">welche </w:t>
      </w:r>
      <w:r>
        <w:t xml:space="preserve">die Offenlegung personenbezogener Daten nicht </w:t>
      </w:r>
      <w:r w:rsidR="00CF176E">
        <w:t>möglich mach</w:t>
      </w:r>
      <w:r w:rsidR="00841DE7">
        <w:t>en</w:t>
      </w:r>
      <w:r w:rsidR="00476D74">
        <w:t>, da von jeder einzelnen natürlichen Person ein Einverständnis einzuholen wäre</w:t>
      </w:r>
      <w:r w:rsidR="00CF176E">
        <w:t>.</w:t>
      </w:r>
      <w:r w:rsidR="00476D74">
        <w:t xml:space="preserve"> Dies wurde im Vorfeld der heutigen Sitzung </w:t>
      </w:r>
      <w:r w:rsidR="008E640D">
        <w:t>von Seiten der Privatwirtschaft</w:t>
      </w:r>
      <w:r w:rsidR="00476D74">
        <w:t xml:space="preserve"> gep</w:t>
      </w:r>
      <w:r w:rsidR="008E640D">
        <w:t xml:space="preserve">rüft. Zudem erfolgte ein Austausch darüber. </w:t>
      </w:r>
      <w:r w:rsidR="00476D74">
        <w:t xml:space="preserve">Im Hinblick auf die bei D-EITI teilnehmenden Unternehmen wird </w:t>
      </w:r>
      <w:r w:rsidR="008E640D">
        <w:t xml:space="preserve">nochmal </w:t>
      </w:r>
      <w:r w:rsidR="00476D74">
        <w:t xml:space="preserve">eine </w:t>
      </w:r>
      <w:r w:rsidR="008E640D">
        <w:t>Prüfung</w:t>
      </w:r>
      <w:r w:rsidR="00476D74">
        <w:t xml:space="preserve"> zu den Möglichkeiten der </w:t>
      </w:r>
      <w:r w:rsidR="00476D74">
        <w:lastRenderedPageBreak/>
        <w:t>Offenlegung der wirtschaftlich Berechtigten erfolgen.</w:t>
      </w:r>
      <w:r>
        <w:t xml:space="preserve"> Eine schriftliche Positionierung wird diesbezüglich von der </w:t>
      </w:r>
      <w:r w:rsidRPr="002935F2">
        <w:t>Privatwirtschaft</w:t>
      </w:r>
      <w:r w:rsidRPr="00E84FA1">
        <w:t xml:space="preserve"> </w:t>
      </w:r>
      <w:r w:rsidR="00762D87" w:rsidRPr="00E84FA1">
        <w:t>der</w:t>
      </w:r>
      <w:r w:rsidR="00762D87">
        <w:t xml:space="preserve"> MSG</w:t>
      </w:r>
      <w:r w:rsidR="00CF176E">
        <w:t xml:space="preserve"> </w:t>
      </w:r>
      <w:r>
        <w:t>zur Verfügung gestellt.</w:t>
      </w:r>
      <w:r w:rsidR="00CF176E">
        <w:t xml:space="preserve"> </w:t>
      </w:r>
    </w:p>
    <w:p w14:paraId="2FF064EE" w14:textId="77777777" w:rsidR="00356F47" w:rsidRDefault="00841DE7" w:rsidP="00356F47">
      <w:pPr>
        <w:spacing w:before="120" w:line="360" w:lineRule="auto"/>
        <w:ind w:left="142"/>
      </w:pPr>
      <w:r>
        <w:t xml:space="preserve">Die </w:t>
      </w:r>
      <w:r w:rsidRPr="000F50EC">
        <w:rPr>
          <w:u w:val="single"/>
        </w:rPr>
        <w:t>Zivilgesellschaft</w:t>
      </w:r>
      <w:r>
        <w:t xml:space="preserve"> sagt ebenfalls eine schriftliche Stellungnahme zu, die die Erfüllung der Standanforderung 2.5 „</w:t>
      </w:r>
      <w:proofErr w:type="spellStart"/>
      <w:r>
        <w:t>Beneficial</w:t>
      </w:r>
      <w:proofErr w:type="spellEnd"/>
      <w:r>
        <w:t xml:space="preserve"> Ownership“ für Deutschland betrachtet.</w:t>
      </w:r>
      <w:r w:rsidR="00356F47">
        <w:t xml:space="preserve"> </w:t>
      </w:r>
      <w:r w:rsidR="00476D74">
        <w:t>Insbesondere sind bereits Publikationen vorhanden, die der D-EITI zur Verfügung gestellt werden</w:t>
      </w:r>
      <w:r w:rsidR="008E640D">
        <w:t xml:space="preserve"> können</w:t>
      </w:r>
      <w:r w:rsidR="00476D74">
        <w:t>.</w:t>
      </w:r>
    </w:p>
    <w:p w14:paraId="345CD17C" w14:textId="77777777" w:rsidR="00356F47" w:rsidRDefault="00356F47" w:rsidP="00356F47">
      <w:pPr>
        <w:spacing w:before="120" w:line="360" w:lineRule="auto"/>
        <w:ind w:left="142"/>
      </w:pPr>
      <w:r>
        <w:t xml:space="preserve">Im Kontext fortschreitender Digitalisierung und Transparenz merkt die </w:t>
      </w:r>
      <w:r w:rsidRPr="000D34D5">
        <w:rPr>
          <w:u w:val="single"/>
        </w:rPr>
        <w:t>Zivilgesellschaft</w:t>
      </w:r>
      <w:r>
        <w:t xml:space="preserve"> zudem an, die Offenlegung von Daten auch als Chance zu betrachten und kritisiert den begrenzten Zugang der Öffentlichkeit zum deutschen Transparenzregister. </w:t>
      </w:r>
    </w:p>
    <w:p w14:paraId="67DD3F69" w14:textId="77777777" w:rsidR="00CF176E" w:rsidRDefault="00CF176E" w:rsidP="001129B1">
      <w:pPr>
        <w:spacing w:before="120" w:line="360" w:lineRule="auto"/>
        <w:ind w:left="142"/>
      </w:pPr>
      <w:r>
        <w:t xml:space="preserve">Zusätzlich verweist das </w:t>
      </w:r>
      <w:r w:rsidRPr="00CF176E">
        <w:rPr>
          <w:u w:val="single"/>
        </w:rPr>
        <w:t>D-EITI Sekretariat</w:t>
      </w:r>
      <w:r>
        <w:t xml:space="preserve"> auf die </w:t>
      </w:r>
      <w:r w:rsidR="00762D87">
        <w:t xml:space="preserve">im EITI Standard verankerte </w:t>
      </w:r>
      <w:r>
        <w:t>Notwendigkeit</w:t>
      </w:r>
      <w:r w:rsidR="00841DE7">
        <w:t>,</w:t>
      </w:r>
      <w:r>
        <w:t xml:space="preserve"> ‚politisch exponierten Personen‘ (</w:t>
      </w:r>
      <w:proofErr w:type="spellStart"/>
      <w:r>
        <w:t>peP</w:t>
      </w:r>
      <w:proofErr w:type="spellEnd"/>
      <w:r>
        <w:t>)</w:t>
      </w:r>
      <w:r w:rsidR="00841DE7">
        <w:t xml:space="preserve"> in der </w:t>
      </w:r>
      <w:r w:rsidR="00841DE7">
        <w:t>EITI-Berichterstattung offenzulegen</w:t>
      </w:r>
      <w:r w:rsidR="00476D74">
        <w:t xml:space="preserve"> und erläutert die Vorgehensweise in UK als Beispiel</w:t>
      </w:r>
      <w:r>
        <w:t>.</w:t>
      </w:r>
    </w:p>
    <w:p w14:paraId="2DD69648" w14:textId="77777777" w:rsidR="001279F2" w:rsidRDefault="00762D87" w:rsidP="001129B1">
      <w:pPr>
        <w:spacing w:before="120" w:line="360" w:lineRule="auto"/>
        <w:ind w:left="142"/>
      </w:pPr>
      <w:r>
        <w:t xml:space="preserve">Die </w:t>
      </w:r>
      <w:r w:rsidRPr="002935F2">
        <w:rPr>
          <w:u w:val="single"/>
        </w:rPr>
        <w:t>Privatwirtschaft</w:t>
      </w:r>
      <w:r>
        <w:t xml:space="preserve"> prüft, ob eine Aussage der Unternehmen zu </w:t>
      </w:r>
      <w:proofErr w:type="spellStart"/>
      <w:r>
        <w:t>peP</w:t>
      </w:r>
      <w:proofErr w:type="spellEnd"/>
      <w:r>
        <w:t xml:space="preserve"> veröffentlicht werden kann</w:t>
      </w:r>
      <w:r w:rsidR="008E640D">
        <w:t xml:space="preserve"> und gibt hierzu Rückmeldung</w:t>
      </w:r>
      <w:r>
        <w:t>.</w:t>
      </w:r>
    </w:p>
    <w:p w14:paraId="481B51FB" w14:textId="059F9285" w:rsidR="00356F47" w:rsidRDefault="00356F47" w:rsidP="001129B1">
      <w:pPr>
        <w:spacing w:before="120" w:line="360" w:lineRule="auto"/>
        <w:ind w:left="142"/>
      </w:pPr>
    </w:p>
    <w:p w14:paraId="5B24F7CD" w14:textId="77777777" w:rsidR="00B15941" w:rsidRPr="00E82C6E" w:rsidRDefault="00B15941" w:rsidP="00B15941">
      <w:pPr>
        <w:spacing w:before="120"/>
        <w:rPr>
          <w:b/>
          <w:bCs/>
        </w:rPr>
      </w:pPr>
      <w:r w:rsidRPr="00E82C6E">
        <w:rPr>
          <w:b/>
          <w:bCs/>
        </w:rPr>
        <w:t xml:space="preserve">4.7 Level </w:t>
      </w:r>
      <w:proofErr w:type="spellStart"/>
      <w:r w:rsidRPr="00E82C6E">
        <w:rPr>
          <w:b/>
          <w:bCs/>
        </w:rPr>
        <w:t>of</w:t>
      </w:r>
      <w:proofErr w:type="spellEnd"/>
      <w:r w:rsidRPr="00E82C6E">
        <w:rPr>
          <w:b/>
          <w:bCs/>
        </w:rPr>
        <w:t xml:space="preserve"> </w:t>
      </w:r>
      <w:proofErr w:type="spellStart"/>
      <w:r w:rsidRPr="00E82C6E">
        <w:rPr>
          <w:b/>
          <w:bCs/>
        </w:rPr>
        <w:t>disaggregation</w:t>
      </w:r>
      <w:proofErr w:type="spellEnd"/>
    </w:p>
    <w:p w14:paraId="344369B6" w14:textId="77777777" w:rsidR="00B15941" w:rsidRDefault="00E82C6E" w:rsidP="001129B1">
      <w:pPr>
        <w:spacing w:before="120" w:line="360" w:lineRule="auto"/>
        <w:ind w:left="120"/>
      </w:pPr>
      <w:r>
        <w:t>In Bezug auf die</w:t>
      </w:r>
      <w:r w:rsidR="00965D0F">
        <w:t xml:space="preserve"> Stellungnahme</w:t>
      </w:r>
      <w:r>
        <w:t xml:space="preserve"> zur Standardanforderung 4.7</w:t>
      </w:r>
      <w:r w:rsidR="008874BF">
        <w:t xml:space="preserve"> ‚</w:t>
      </w:r>
      <w:proofErr w:type="spellStart"/>
      <w:r w:rsidR="008874BF" w:rsidRPr="002935F2">
        <w:rPr>
          <w:i/>
          <w:iCs/>
        </w:rPr>
        <w:t>project</w:t>
      </w:r>
      <w:proofErr w:type="spellEnd"/>
      <w:r w:rsidR="008874BF" w:rsidRPr="002935F2">
        <w:rPr>
          <w:i/>
          <w:iCs/>
        </w:rPr>
        <w:t xml:space="preserve"> </w:t>
      </w:r>
      <w:proofErr w:type="spellStart"/>
      <w:r w:rsidR="008874BF" w:rsidRPr="002935F2">
        <w:rPr>
          <w:i/>
          <w:iCs/>
        </w:rPr>
        <w:t>level</w:t>
      </w:r>
      <w:proofErr w:type="spellEnd"/>
      <w:r w:rsidR="008874BF" w:rsidRPr="002935F2">
        <w:rPr>
          <w:i/>
          <w:iCs/>
        </w:rPr>
        <w:t xml:space="preserve"> </w:t>
      </w:r>
      <w:proofErr w:type="spellStart"/>
      <w:r w:rsidR="008874BF" w:rsidRPr="002935F2">
        <w:rPr>
          <w:i/>
          <w:iCs/>
        </w:rPr>
        <w:t>reporting</w:t>
      </w:r>
      <w:proofErr w:type="spellEnd"/>
      <w:r w:rsidR="008874BF">
        <w:t>‘</w:t>
      </w:r>
      <w:r>
        <w:t xml:space="preserve"> erläutert das </w:t>
      </w:r>
      <w:r w:rsidRPr="00965D0F">
        <w:rPr>
          <w:u w:val="single"/>
        </w:rPr>
        <w:t>D-EITI Sekretariat</w:t>
      </w:r>
      <w:r>
        <w:t>, dass die</w:t>
      </w:r>
      <w:r w:rsidR="008874BF">
        <w:t xml:space="preserve"> Veröffentlichung </w:t>
      </w:r>
      <w:r>
        <w:t xml:space="preserve">von Zahlungsströmen </w:t>
      </w:r>
      <w:r w:rsidR="008874BF">
        <w:t>der Feldes- und Förderabgaben je nach Bundesland bzw. Bergbaubehörde</w:t>
      </w:r>
      <w:r w:rsidR="00C3615D">
        <w:t xml:space="preserve"> (</w:t>
      </w:r>
      <w:r w:rsidR="00833463">
        <w:t xml:space="preserve">auf </w:t>
      </w:r>
      <w:proofErr w:type="spellStart"/>
      <w:r w:rsidR="00C3615D" w:rsidRPr="002935F2">
        <w:rPr>
          <w:i/>
          <w:iCs/>
        </w:rPr>
        <w:t>entity</w:t>
      </w:r>
      <w:proofErr w:type="spellEnd"/>
      <w:r w:rsidR="00833463" w:rsidRPr="002935F2">
        <w:rPr>
          <w:i/>
          <w:iCs/>
        </w:rPr>
        <w:t xml:space="preserve"> </w:t>
      </w:r>
      <w:proofErr w:type="spellStart"/>
      <w:r w:rsidR="00C3615D" w:rsidRPr="002935F2">
        <w:rPr>
          <w:i/>
          <w:iCs/>
        </w:rPr>
        <w:t>level</w:t>
      </w:r>
      <w:proofErr w:type="spellEnd"/>
      <w:r w:rsidR="00C3615D">
        <w:t>)</w:t>
      </w:r>
      <w:r w:rsidR="008874BF">
        <w:t xml:space="preserve"> statt</w:t>
      </w:r>
      <w:r>
        <w:t>findet</w:t>
      </w:r>
      <w:r w:rsidR="008874BF">
        <w:t xml:space="preserve"> und nicht </w:t>
      </w:r>
      <w:r w:rsidR="00833463">
        <w:t xml:space="preserve">z.B. </w:t>
      </w:r>
      <w:r w:rsidR="008874BF">
        <w:t xml:space="preserve">nach </w:t>
      </w:r>
      <w:r w:rsidR="00833463">
        <w:t xml:space="preserve">Erlaubnis- oder </w:t>
      </w:r>
      <w:r w:rsidR="008874BF">
        <w:t>Bewilligungsfeld</w:t>
      </w:r>
      <w:r>
        <w:t>.</w:t>
      </w:r>
    </w:p>
    <w:p w14:paraId="193B36B9" w14:textId="56BC4060" w:rsidR="00833463" w:rsidRPr="002935F2" w:rsidRDefault="00BA5CE1" w:rsidP="001129B1">
      <w:pPr>
        <w:spacing w:before="120" w:line="360" w:lineRule="auto"/>
        <w:ind w:left="120"/>
      </w:pPr>
      <w:r w:rsidRPr="00833463">
        <w:t>Die</w:t>
      </w:r>
      <w:r w:rsidR="00E82C6E" w:rsidRPr="00833463">
        <w:t xml:space="preserve"> </w:t>
      </w:r>
      <w:r w:rsidR="00E82C6E" w:rsidRPr="00833463">
        <w:rPr>
          <w:u w:val="single"/>
        </w:rPr>
        <w:t>Regierung</w:t>
      </w:r>
      <w:r w:rsidR="00E82C6E" w:rsidRPr="00833463">
        <w:t xml:space="preserve"> </w:t>
      </w:r>
      <w:r w:rsidR="00C3615D" w:rsidRPr="00833463">
        <w:t xml:space="preserve">verweist </w:t>
      </w:r>
      <w:r w:rsidR="00833463" w:rsidRPr="00833463">
        <w:t xml:space="preserve">mit ihrer vorgelegten Stellungnahme </w:t>
      </w:r>
      <w:r w:rsidR="008E640D">
        <w:t xml:space="preserve">des BMWK </w:t>
      </w:r>
      <w:r w:rsidR="00E82C6E" w:rsidRPr="00833463">
        <w:t xml:space="preserve">auf </w:t>
      </w:r>
      <w:r w:rsidR="00833463" w:rsidRPr="002935F2">
        <w:t>die Regelungen im</w:t>
      </w:r>
      <w:r w:rsidR="00833463" w:rsidRPr="00833463">
        <w:t xml:space="preserve"> </w:t>
      </w:r>
      <w:r w:rsidR="00E82C6E" w:rsidRPr="00833463">
        <w:t xml:space="preserve">Bundesberggesetz, </w:t>
      </w:r>
      <w:r w:rsidR="00833463" w:rsidRPr="002935F2">
        <w:t>welches</w:t>
      </w:r>
      <w:r w:rsidR="00833463" w:rsidRPr="00833463">
        <w:t xml:space="preserve"> </w:t>
      </w:r>
      <w:r w:rsidR="00E82C6E" w:rsidRPr="00833463">
        <w:t xml:space="preserve">in Deutschland </w:t>
      </w:r>
      <w:r w:rsidR="008E640D">
        <w:t xml:space="preserve">die </w:t>
      </w:r>
      <w:r w:rsidR="00E82C6E" w:rsidRPr="00833463">
        <w:t xml:space="preserve">rechtlichen Grundlagen </w:t>
      </w:r>
      <w:r w:rsidR="00833463" w:rsidRPr="002935F2">
        <w:t xml:space="preserve">für den Zahlungsstrom Feldes- und Förderabgaben </w:t>
      </w:r>
      <w:r w:rsidR="00E82C6E" w:rsidRPr="00833463">
        <w:t xml:space="preserve">vorgibt. </w:t>
      </w:r>
      <w:r w:rsidR="00833463" w:rsidRPr="002935F2">
        <w:t>Die Höhe der Zahlung wird gemäß B</w:t>
      </w:r>
      <w:r w:rsidR="008E640D">
        <w:t>B</w:t>
      </w:r>
      <w:r w:rsidR="00833463" w:rsidRPr="002935F2">
        <w:t xml:space="preserve">ergG vom jeweiligen Bundesland, wiederum auf Basis gesetzlicher Bestimmungen und mit Bezug auf die jeweiligen </w:t>
      </w:r>
      <w:r w:rsidR="00833463" w:rsidRPr="00833463">
        <w:t>Erlaubnis- oder Bewilligungsfelder</w:t>
      </w:r>
      <w:r w:rsidR="00833463" w:rsidRPr="002935F2">
        <w:t xml:space="preserve">, bestimmt. </w:t>
      </w:r>
    </w:p>
    <w:p w14:paraId="0FAF1540" w14:textId="32E00171" w:rsidR="00433AE4" w:rsidRDefault="00202095" w:rsidP="001129B1">
      <w:pPr>
        <w:spacing w:before="120" w:line="360" w:lineRule="auto"/>
        <w:ind w:left="120"/>
      </w:pPr>
      <w:r>
        <w:t xml:space="preserve">Auf Anregung aus dem Regierungskreis wird BMWK die Stellungnahme nochmal überarbeiten. </w:t>
      </w:r>
      <w:r w:rsidR="00833463" w:rsidRPr="002935F2">
        <w:t xml:space="preserve">Die Regierung betont, dass es wichtig sei deutlich zu machen, worin die Rolle der die Zahlung einnehmenden Bergbehörden der Bundesländer besteht. Es besteht </w:t>
      </w:r>
      <w:r w:rsidR="008E640D">
        <w:t xml:space="preserve">in Bezug auf die Feldes- und Förderabgabe insbesondere </w:t>
      </w:r>
      <w:r w:rsidR="00833463" w:rsidRPr="002935F2">
        <w:t xml:space="preserve">kein Vertragsverhältnis (im </w:t>
      </w:r>
      <w:proofErr w:type="gramStart"/>
      <w:r w:rsidR="00833463" w:rsidRPr="002935F2">
        <w:t>EITI Sinne</w:t>
      </w:r>
      <w:proofErr w:type="gramEnd"/>
      <w:r w:rsidR="00833463" w:rsidRPr="002935F2">
        <w:t xml:space="preserve">) </w:t>
      </w:r>
      <w:r>
        <w:t>zwischen den Bergbehörden und</w:t>
      </w:r>
      <w:r w:rsidR="00833463" w:rsidRPr="002935F2">
        <w:t xml:space="preserve"> den Unternehmen. </w:t>
      </w:r>
      <w:r>
        <w:t xml:space="preserve">Die Bergbehörden erteilen die Erlaubnisse und Bewilligungen und sind </w:t>
      </w:r>
      <w:r w:rsidRPr="002935F2">
        <w:t>zahlungsempfangende Stelle</w:t>
      </w:r>
      <w:r>
        <w:t>n</w:t>
      </w:r>
      <w:r w:rsidRPr="002935F2">
        <w:t xml:space="preserve"> im jeweiligen Bundesland.</w:t>
      </w:r>
      <w:r>
        <w:t xml:space="preserve"> Darüber hinaus sind sie für die EITI-Anforderung nicht relevant. </w:t>
      </w:r>
      <w:r w:rsidR="00D12CFD">
        <w:t>Die Höhe der Einnahme</w:t>
      </w:r>
      <w:r>
        <w:t>n</w:t>
      </w:r>
      <w:r w:rsidR="00D12CFD">
        <w:t xml:space="preserve"> wird </w:t>
      </w:r>
      <w:r w:rsidR="00A260EE">
        <w:t>von den rechtlichen Vorgaben bestimmt</w:t>
      </w:r>
      <w:r w:rsidR="008E640D">
        <w:t xml:space="preserve"> und auf Grundlage der erteilten </w:t>
      </w:r>
      <w:r w:rsidR="008E640D">
        <w:lastRenderedPageBreak/>
        <w:t>Bergbauberechtigungen berechnet.</w:t>
      </w:r>
      <w:r w:rsidR="00A260EE">
        <w:t xml:space="preserve"> </w:t>
      </w:r>
      <w:r w:rsidR="008E640D">
        <w:t>Die erteilten Erlaubnisse und Bewilligungen betreffen</w:t>
      </w:r>
      <w:r>
        <w:t xml:space="preserve"> im Grunde laufende Projekte. Das kann in Deutschland ein ganzes Bergbaurevier sein. Insofern besteht auch kein Widerspruch zum </w:t>
      </w:r>
      <w:proofErr w:type="gramStart"/>
      <w:r>
        <w:t>EITI Standard</w:t>
      </w:r>
      <w:proofErr w:type="gramEnd"/>
      <w:r>
        <w:t xml:space="preserve">. </w:t>
      </w:r>
    </w:p>
    <w:p w14:paraId="018075DD" w14:textId="4BE24C61" w:rsidR="00407838" w:rsidRDefault="00407838" w:rsidP="001129B1">
      <w:pPr>
        <w:spacing w:before="120" w:line="360" w:lineRule="auto"/>
        <w:ind w:left="120"/>
      </w:pPr>
    </w:p>
    <w:p w14:paraId="3836559C" w14:textId="77777777" w:rsidR="00433AE4" w:rsidRPr="00433AE4" w:rsidRDefault="00433AE4" w:rsidP="00433AE4">
      <w:pPr>
        <w:spacing w:before="120"/>
        <w:rPr>
          <w:b/>
          <w:bCs/>
        </w:rPr>
      </w:pPr>
      <w:r w:rsidRPr="00433AE4">
        <w:rPr>
          <w:b/>
          <w:bCs/>
        </w:rPr>
        <w:t xml:space="preserve">3.2 </w:t>
      </w:r>
      <w:proofErr w:type="spellStart"/>
      <w:r w:rsidRPr="00433AE4">
        <w:rPr>
          <w:b/>
          <w:bCs/>
        </w:rPr>
        <w:t>Production</w:t>
      </w:r>
      <w:proofErr w:type="spellEnd"/>
      <w:r w:rsidRPr="00433AE4">
        <w:rPr>
          <w:b/>
          <w:bCs/>
        </w:rPr>
        <w:t xml:space="preserve"> Data</w:t>
      </w:r>
    </w:p>
    <w:p w14:paraId="177F0F9A" w14:textId="4398F171" w:rsidR="009275F3" w:rsidRDefault="00EF7CA9" w:rsidP="001129B1">
      <w:pPr>
        <w:spacing w:before="120" w:line="360" w:lineRule="auto"/>
        <w:ind w:left="142"/>
      </w:pPr>
      <w:r>
        <w:t xml:space="preserve">Zunächst weist das </w:t>
      </w:r>
      <w:r w:rsidRPr="00EF7CA9">
        <w:rPr>
          <w:u w:val="single"/>
        </w:rPr>
        <w:t>D-EITI Sekretariat</w:t>
      </w:r>
      <w:r>
        <w:t xml:space="preserve"> darauf hin, dass die Standardanforderung 3.2 Daten disaggregiert für Bundesländer </w:t>
      </w:r>
      <w:r w:rsidR="009275F3">
        <w:t xml:space="preserve">und Rohstoffe </w:t>
      </w:r>
      <w:r>
        <w:t>zu veröffentlichen, gemäß de</w:t>
      </w:r>
      <w:r w:rsidR="00703817">
        <w:t>m</w:t>
      </w:r>
      <w:r>
        <w:t xml:space="preserve"> EITI-Standard </w:t>
      </w:r>
      <w:r w:rsidR="009275F3">
        <w:t xml:space="preserve">nach der ersten Validierung </w:t>
      </w:r>
      <w:r>
        <w:t>empfohlen</w:t>
      </w:r>
      <w:r w:rsidR="009275F3">
        <w:t xml:space="preserve"> wurde</w:t>
      </w:r>
      <w:r>
        <w:t xml:space="preserve">, jedoch nicht verpflichtend </w:t>
      </w:r>
      <w:r w:rsidR="009275F3">
        <w:t>sei</w:t>
      </w:r>
      <w:r>
        <w:t xml:space="preserve">. </w:t>
      </w:r>
    </w:p>
    <w:p w14:paraId="0086424B" w14:textId="5D734B79" w:rsidR="0075474B" w:rsidRDefault="00EF7CA9" w:rsidP="001129B1">
      <w:pPr>
        <w:spacing w:before="120" w:line="360" w:lineRule="auto"/>
        <w:ind w:left="142"/>
      </w:pPr>
      <w:r>
        <w:t xml:space="preserve">Da </w:t>
      </w:r>
      <w:r w:rsidR="009275F3">
        <w:t>in der Vergangenheit jedoch entsprechend disaggregierte Daten veröffentlicht</w:t>
      </w:r>
      <w:r>
        <w:t xml:space="preserve"> wurde</w:t>
      </w:r>
      <w:r w:rsidR="009275F3">
        <w:t>n</w:t>
      </w:r>
      <w:r w:rsidR="00BA5CE1">
        <w:t xml:space="preserve"> (siehe </w:t>
      </w:r>
      <w:hyperlink r:id="rId8" w:history="1">
        <w:r w:rsidR="00BA5CE1" w:rsidRPr="00E84FA1">
          <w:rPr>
            <w:rStyle w:val="Hyperlink"/>
          </w:rPr>
          <w:t>interaktive Rohstoffkarte</w:t>
        </w:r>
      </w:hyperlink>
      <w:r w:rsidR="00BA5CE1">
        <w:t>)</w:t>
      </w:r>
      <w:r>
        <w:t>, w</w:t>
      </w:r>
      <w:r w:rsidR="00202095">
        <w:t>u</w:t>
      </w:r>
      <w:r>
        <w:t>rd</w:t>
      </w:r>
      <w:r w:rsidR="00202095">
        <w:t>e uns</w:t>
      </w:r>
      <w:r>
        <w:t xml:space="preserve"> empfohlen, die </w:t>
      </w:r>
      <w:r w:rsidR="009275F3">
        <w:t xml:space="preserve">aktuelle </w:t>
      </w:r>
      <w:r>
        <w:t xml:space="preserve">rechtliche Lage </w:t>
      </w:r>
      <w:r w:rsidR="00E84FA1">
        <w:t xml:space="preserve">in einer Stellungnahme </w:t>
      </w:r>
      <w:r w:rsidR="009275F3">
        <w:t xml:space="preserve">deutlich </w:t>
      </w:r>
      <w:r w:rsidR="00E84FA1">
        <w:t>dazustellen</w:t>
      </w:r>
      <w:r>
        <w:t xml:space="preserve">. </w:t>
      </w:r>
      <w:r w:rsidR="00433AE4">
        <w:t xml:space="preserve">Die </w:t>
      </w:r>
      <w:r w:rsidR="00202095">
        <w:t xml:space="preserve">daraufhin verfasste </w:t>
      </w:r>
      <w:r w:rsidR="00433AE4">
        <w:t xml:space="preserve">Stellungnahme </w:t>
      </w:r>
      <w:r w:rsidR="006A6F53">
        <w:t xml:space="preserve">des BMWK </w:t>
      </w:r>
      <w:r w:rsidR="00433AE4">
        <w:t>zu Standardanforderung 3.2</w:t>
      </w:r>
      <w:r>
        <w:t xml:space="preserve"> </w:t>
      </w:r>
      <w:r w:rsidR="006D1E06">
        <w:t>legt dar</w:t>
      </w:r>
      <w:r>
        <w:t>,</w:t>
      </w:r>
      <w:r w:rsidR="00433AE4">
        <w:t xml:space="preserve"> dass</w:t>
      </w:r>
      <w:r>
        <w:t xml:space="preserve"> </w:t>
      </w:r>
      <w:r w:rsidR="006D1E06">
        <w:t xml:space="preserve">nach Abfrage und Austausch mit den relevanten öffentlichen Stellen auf Bundes- und Landesebene </w:t>
      </w:r>
      <w:r>
        <w:t>eine Veröffentlichung der Daten</w:t>
      </w:r>
      <w:r w:rsidR="00433AE4">
        <w:t xml:space="preserve"> auf Bundeslandebene aufgrund </w:t>
      </w:r>
      <w:r w:rsidR="00BA5CE1">
        <w:t xml:space="preserve">rechtlicher Vorgaben </w:t>
      </w:r>
      <w:r w:rsidR="00433AE4">
        <w:t>nicht für alle Rohstoffe möglich sei.</w:t>
      </w:r>
    </w:p>
    <w:p w14:paraId="39A9E554" w14:textId="77777777" w:rsidR="009275F3" w:rsidRDefault="009275F3" w:rsidP="001129B1">
      <w:pPr>
        <w:spacing w:before="120" w:line="360" w:lineRule="auto"/>
        <w:ind w:left="142"/>
      </w:pPr>
      <w:r>
        <w:t xml:space="preserve">Die Stellungnahme lag der MSG bereits seit August vor und wurde im </w:t>
      </w:r>
      <w:r>
        <w:t>Termin nur der Vollständigkeit halber nochmals erläutert.</w:t>
      </w:r>
    </w:p>
    <w:p w14:paraId="45CF9631" w14:textId="77777777" w:rsidR="009275F3" w:rsidRDefault="009275F3" w:rsidP="001129B1">
      <w:pPr>
        <w:spacing w:before="120" w:line="360" w:lineRule="auto"/>
        <w:ind w:left="142"/>
      </w:pPr>
    </w:p>
    <w:p w14:paraId="47C1B077" w14:textId="77777777" w:rsidR="00E1225D" w:rsidRPr="00311D03" w:rsidRDefault="00311D03" w:rsidP="00E1225D">
      <w:pPr>
        <w:spacing w:before="120"/>
        <w:rPr>
          <w:b/>
          <w:bCs/>
        </w:rPr>
      </w:pPr>
      <w:r w:rsidRPr="002935F2">
        <w:rPr>
          <w:b/>
          <w:bCs/>
          <w:i/>
          <w:iCs/>
        </w:rPr>
        <w:t xml:space="preserve">Gender in </w:t>
      </w:r>
      <w:proofErr w:type="spellStart"/>
      <w:r w:rsidRPr="002935F2">
        <w:rPr>
          <w:b/>
          <w:bCs/>
          <w:i/>
          <w:iCs/>
        </w:rPr>
        <w:t>mining</w:t>
      </w:r>
      <w:proofErr w:type="spellEnd"/>
    </w:p>
    <w:p w14:paraId="6C9B96D3" w14:textId="77777777" w:rsidR="00885695" w:rsidRDefault="00AE7E4D" w:rsidP="001129B1">
      <w:pPr>
        <w:spacing w:before="120" w:line="360" w:lineRule="auto"/>
        <w:ind w:left="142"/>
      </w:pPr>
      <w:r>
        <w:t xml:space="preserve">In Bezug auf eine gender-sensible D-EITI Umsetzung </w:t>
      </w:r>
      <w:r w:rsidR="00C3615D">
        <w:t xml:space="preserve">bittet das </w:t>
      </w:r>
      <w:r w:rsidR="00C3615D" w:rsidRPr="00C3615D">
        <w:rPr>
          <w:u w:val="single"/>
        </w:rPr>
        <w:t xml:space="preserve">D-EITI Sekretariat </w:t>
      </w:r>
      <w:r w:rsidR="00A23A44" w:rsidRPr="002935F2">
        <w:t>weiter</w:t>
      </w:r>
      <w:r w:rsidR="00A23A44">
        <w:rPr>
          <w:u w:val="single"/>
        </w:rPr>
        <w:t xml:space="preserve"> </w:t>
      </w:r>
      <w:r>
        <w:t xml:space="preserve">um die </w:t>
      </w:r>
      <w:r w:rsidR="00E1225D">
        <w:t>Zusendung von Informationen durch die MSG oder dem erweiterten Netzwerk</w:t>
      </w:r>
      <w:r>
        <w:t>,</w:t>
      </w:r>
      <w:r w:rsidR="00E1225D">
        <w:t xml:space="preserve"> die sich mit ‚</w:t>
      </w:r>
      <w:proofErr w:type="spellStart"/>
      <w:r w:rsidR="00E1225D" w:rsidRPr="002935F2">
        <w:rPr>
          <w:i/>
          <w:iCs/>
        </w:rPr>
        <w:t>gender</w:t>
      </w:r>
      <w:proofErr w:type="spellEnd"/>
      <w:r w:rsidR="00E1225D">
        <w:t>‘ in Bezug auf den Rohstoffsektor auseinandersetzen</w:t>
      </w:r>
      <w:r w:rsidR="004C0007">
        <w:t xml:space="preserve"> (z.B. Veranstaltungen, Studien, Berichterstattungen)</w:t>
      </w:r>
      <w:r w:rsidR="005A3E6E">
        <w:t xml:space="preserve"> und zur Dokumentation während der Validierung geeignet sind</w:t>
      </w:r>
      <w:r w:rsidR="00E1225D">
        <w:t>.</w:t>
      </w:r>
      <w:r w:rsidR="005D7802">
        <w:t xml:space="preserve"> </w:t>
      </w:r>
      <w:r w:rsidR="006D1E06">
        <w:t>Das Sekretariat wird bislang erfolgte Aktivitäten</w:t>
      </w:r>
      <w:r w:rsidR="00FA1147">
        <w:t xml:space="preserve"> der MSG,</w:t>
      </w:r>
      <w:r w:rsidR="006D1E06">
        <w:t xml:space="preserve"> Beträge </w:t>
      </w:r>
      <w:r w:rsidR="00FA1147">
        <w:t xml:space="preserve">der Stakeholder und vorgelegte Informationen </w:t>
      </w:r>
      <w:r w:rsidR="006D1E06">
        <w:t>in der Validierung darlegen.</w:t>
      </w:r>
    </w:p>
    <w:p w14:paraId="27F61570" w14:textId="77777777" w:rsidR="00767DE7" w:rsidRDefault="001A6B80" w:rsidP="001129B1">
      <w:pPr>
        <w:spacing w:before="120" w:line="360" w:lineRule="auto"/>
        <w:ind w:left="142"/>
      </w:pPr>
      <w:r>
        <w:t xml:space="preserve">Mit der disaggregierten </w:t>
      </w:r>
      <w:r w:rsidR="00806462">
        <w:t xml:space="preserve">D-EITI </w:t>
      </w:r>
      <w:r>
        <w:t>Berichterstattung in Bezug auf die Beschäftigenzahlen im deutschen rohstoffgewinnenden Sektor</w:t>
      </w:r>
      <w:r w:rsidR="00903294">
        <w:t xml:space="preserve">, mit </w:t>
      </w:r>
      <w:r w:rsidR="00FE358F">
        <w:t>guten Beispielen aus der Berichterstattung von D-EITI Unternehmen</w:t>
      </w:r>
      <w:r w:rsidR="00B03C67">
        <w:t xml:space="preserve"> und</w:t>
      </w:r>
      <w:r w:rsidR="00FE358F">
        <w:t xml:space="preserve"> mit </w:t>
      </w:r>
      <w:r w:rsidR="005D05E9">
        <w:t xml:space="preserve">der Thematisierung von Gleichstellungsaspekten in der Zusammensetzung der MSG (siehe aktualisierte </w:t>
      </w:r>
      <w:r w:rsidR="005D7802">
        <w:t>Geschäftsordnung der D-EITI MSG</w:t>
      </w:r>
      <w:r w:rsidR="005D05E9">
        <w:t>)</w:t>
      </w:r>
      <w:r w:rsidR="005D7802">
        <w:t xml:space="preserve"> </w:t>
      </w:r>
      <w:r w:rsidR="00B03C67">
        <w:t>zeigt die D-EITI MSG</w:t>
      </w:r>
      <w:r w:rsidR="00767DE7">
        <w:t xml:space="preserve"> bisher bereits die notwendige Sensibilität für die Thematik.</w:t>
      </w:r>
    </w:p>
    <w:p w14:paraId="26A13C09" w14:textId="77777777" w:rsidR="00AE7E4D" w:rsidRDefault="00AE7E4D" w:rsidP="001129B1">
      <w:pPr>
        <w:spacing w:before="120" w:line="360" w:lineRule="auto"/>
        <w:ind w:left="142"/>
      </w:pPr>
      <w:r>
        <w:t xml:space="preserve">Als </w:t>
      </w:r>
      <w:r w:rsidR="00767DE7">
        <w:t xml:space="preserve">weiteres </w:t>
      </w:r>
      <w:r>
        <w:t xml:space="preserve">positives Beispiel nennt die </w:t>
      </w:r>
      <w:r w:rsidRPr="00AE7E4D">
        <w:rPr>
          <w:u w:val="single"/>
        </w:rPr>
        <w:t>Privatwirtschaft</w:t>
      </w:r>
      <w:r>
        <w:t xml:space="preserve"> die Zertifizierung zur Überwindung des Gender Pay Gap </w:t>
      </w:r>
      <w:r w:rsidR="005A49CF">
        <w:t>(</w:t>
      </w:r>
      <w:proofErr w:type="spellStart"/>
      <w:r w:rsidR="005A49CF">
        <w:t>Equal</w:t>
      </w:r>
      <w:proofErr w:type="spellEnd"/>
      <w:r w:rsidR="005A49CF">
        <w:t xml:space="preserve"> </w:t>
      </w:r>
      <w:proofErr w:type="spellStart"/>
      <w:r w:rsidR="005A49CF">
        <w:t>Salary</w:t>
      </w:r>
      <w:proofErr w:type="spellEnd"/>
      <w:r w:rsidR="005A49CF">
        <w:t xml:space="preserve"> Zertifizierung) </w:t>
      </w:r>
      <w:r>
        <w:t xml:space="preserve">und </w:t>
      </w:r>
      <w:r w:rsidR="00757E45">
        <w:t xml:space="preserve">sagt </w:t>
      </w:r>
      <w:r>
        <w:t xml:space="preserve">die </w:t>
      </w:r>
      <w:r w:rsidR="005A49CF">
        <w:t>Zusendung</w:t>
      </w:r>
      <w:r>
        <w:t xml:space="preserve"> </w:t>
      </w:r>
      <w:r w:rsidR="005A49CF">
        <w:t>entsprechender</w:t>
      </w:r>
      <w:r>
        <w:t xml:space="preserve"> Informationen</w:t>
      </w:r>
      <w:r w:rsidR="005A49CF">
        <w:t xml:space="preserve"> an das </w:t>
      </w:r>
      <w:r w:rsidR="005A49CF" w:rsidRPr="005A49CF">
        <w:rPr>
          <w:u w:val="single"/>
        </w:rPr>
        <w:t>D-EITI Sekretariat</w:t>
      </w:r>
      <w:r w:rsidR="00757E45">
        <w:t xml:space="preserve"> zu</w:t>
      </w:r>
      <w:r w:rsidR="005D7802">
        <w:t>.</w:t>
      </w:r>
    </w:p>
    <w:p w14:paraId="1288F0A7" w14:textId="77777777" w:rsidR="00CD4577" w:rsidRDefault="00101540" w:rsidP="002935F2">
      <w:pPr>
        <w:spacing w:before="120" w:line="360" w:lineRule="auto"/>
        <w:ind w:left="142"/>
      </w:pPr>
      <w:r w:rsidRPr="002935F2">
        <w:rPr>
          <w:u w:val="single"/>
        </w:rPr>
        <w:lastRenderedPageBreak/>
        <w:t>Nachtrag:</w:t>
      </w:r>
      <w:r>
        <w:t xml:space="preserve"> </w:t>
      </w:r>
      <w:r w:rsidR="00CD4577">
        <w:t xml:space="preserve">Link zur Pressemitteilung anlässlich der globalen </w:t>
      </w:r>
      <w:r w:rsidR="00CD4577">
        <w:rPr>
          <w:b/>
          <w:bCs/>
        </w:rPr>
        <w:t>EQUAL-SALARY-Zertifizierung</w:t>
      </w:r>
      <w:r w:rsidR="00CD4577">
        <w:t xml:space="preserve"> von Wintershall Dea:</w:t>
      </w:r>
      <w:r>
        <w:t xml:space="preserve"> </w:t>
      </w:r>
      <w:hyperlink r:id="rId9" w:history="1">
        <w:r w:rsidR="00CD4577">
          <w:rPr>
            <w:rStyle w:val="Hyperlink"/>
          </w:rPr>
          <w:t>https://wintershalldea.com/de/newsroom/lohngleichheit-wintershall-dea-als-equal-salary-arbeitgeber-global-zertifiziert</w:t>
        </w:r>
      </w:hyperlink>
      <w:r>
        <w:t xml:space="preserve">; </w:t>
      </w:r>
      <w:r w:rsidR="00CD4577">
        <w:t>Sonderseite zu „</w:t>
      </w:r>
      <w:proofErr w:type="spellStart"/>
      <w:r w:rsidR="00CD4577">
        <w:t>Equal</w:t>
      </w:r>
      <w:proofErr w:type="spellEnd"/>
      <w:r w:rsidR="00CD4577">
        <w:t xml:space="preserve"> Pay“ i</w:t>
      </w:r>
      <w:r w:rsidR="00A37869">
        <w:t>m</w:t>
      </w:r>
      <w:r w:rsidR="00CD4577">
        <w:t xml:space="preserve"> </w:t>
      </w:r>
      <w:r w:rsidR="00CD4577">
        <w:rPr>
          <w:b/>
          <w:bCs/>
        </w:rPr>
        <w:t>Nachhaltigkeitsbericht 2022</w:t>
      </w:r>
      <w:r w:rsidR="00CD4577">
        <w:t xml:space="preserve"> auf den </w:t>
      </w:r>
      <w:r w:rsidR="00CD4577">
        <w:rPr>
          <w:b/>
          <w:bCs/>
        </w:rPr>
        <w:t>Seiten 42/43</w:t>
      </w:r>
      <w:r w:rsidR="00A37869" w:rsidRPr="002935F2">
        <w:t>: Download</w:t>
      </w:r>
      <w:r w:rsidR="006A77BF">
        <w:t xml:space="preserve"> </w:t>
      </w:r>
      <w:r w:rsidR="00F95EC2">
        <w:t xml:space="preserve">unter </w:t>
      </w:r>
      <w:hyperlink r:id="rId10" w:history="1">
        <w:r w:rsidR="00CD4577">
          <w:rPr>
            <w:rStyle w:val="Hyperlink"/>
          </w:rPr>
          <w:t>https://wintershalldea.com/de/woran-wir-glauben/nachhaltigkeit/2022-nachhaltigkeitsbericht</w:t>
        </w:r>
      </w:hyperlink>
    </w:p>
    <w:p w14:paraId="2A84DFCE" w14:textId="77777777" w:rsidR="005D7802" w:rsidRDefault="005D7802" w:rsidP="005D7802">
      <w:pPr>
        <w:spacing w:before="120" w:line="360" w:lineRule="auto"/>
        <w:ind w:left="142"/>
      </w:pPr>
      <w:r>
        <w:t xml:space="preserve">Die </w:t>
      </w:r>
      <w:r w:rsidRPr="002935F2">
        <w:rPr>
          <w:u w:val="single"/>
        </w:rPr>
        <w:t>Regierung</w:t>
      </w:r>
      <w:r>
        <w:t xml:space="preserve"> </w:t>
      </w:r>
      <w:r w:rsidR="00F95EC2">
        <w:t xml:space="preserve">ihrerseits </w:t>
      </w:r>
      <w:r>
        <w:t xml:space="preserve">verweist </w:t>
      </w:r>
      <w:r w:rsidR="009C6D69">
        <w:t xml:space="preserve">nochmals </w:t>
      </w:r>
      <w:r>
        <w:t xml:space="preserve">auf </w:t>
      </w:r>
      <w:r w:rsidR="009C6D69">
        <w:t xml:space="preserve">zwei </w:t>
      </w:r>
      <w:r>
        <w:t xml:space="preserve">Webinare </w:t>
      </w:r>
      <w:r w:rsidR="009C6D69">
        <w:t>mit der</w:t>
      </w:r>
      <w:r>
        <w:t xml:space="preserve"> D-EITI Sonderbeauftragten und Publikationen zum Thema Gender.</w:t>
      </w:r>
    </w:p>
    <w:p w14:paraId="468AB0F6" w14:textId="77777777" w:rsidR="009275F3" w:rsidRDefault="009275F3" w:rsidP="005D7802">
      <w:pPr>
        <w:spacing w:before="120" w:line="360" w:lineRule="auto"/>
        <w:ind w:left="142"/>
      </w:pPr>
    </w:p>
    <w:p w14:paraId="51B3A003" w14:textId="77777777" w:rsidR="00AA06EA" w:rsidRDefault="005A49CF" w:rsidP="0067015A">
      <w:pPr>
        <w:pStyle w:val="berschrift1"/>
        <w:spacing w:before="120" w:after="0"/>
        <w:rPr>
          <w:color w:val="002060"/>
        </w:rPr>
      </w:pPr>
      <w:r>
        <w:rPr>
          <w:color w:val="002060"/>
        </w:rPr>
        <w:t>Informationen und Austausch zu Validierungstemplates</w:t>
      </w:r>
    </w:p>
    <w:p w14:paraId="730E7A57" w14:textId="77777777" w:rsidR="00C3615D" w:rsidRDefault="00C3615D" w:rsidP="00C3615D"/>
    <w:p w14:paraId="0D7840FD" w14:textId="77777777" w:rsidR="00C3615D" w:rsidRDefault="00502F34" w:rsidP="00757E45">
      <w:pPr>
        <w:spacing w:line="360" w:lineRule="auto"/>
      </w:pPr>
      <w:r>
        <w:t xml:space="preserve">Das </w:t>
      </w:r>
      <w:r w:rsidRPr="002935F2">
        <w:rPr>
          <w:u w:val="single"/>
        </w:rPr>
        <w:t>D-EITI Sekretariat</w:t>
      </w:r>
      <w:r>
        <w:t xml:space="preserve"> informiert, dass d</w:t>
      </w:r>
      <w:r w:rsidR="00C3615D">
        <w:t>ie Entwürfe der Templates mit dem internationalen Sekretariat besprochen und auf Grundlage der Rückmeldungen aus Oslo überarbeitet</w:t>
      </w:r>
      <w:r w:rsidRPr="00502F34">
        <w:t xml:space="preserve"> </w:t>
      </w:r>
      <w:r>
        <w:t>wurden</w:t>
      </w:r>
      <w:r w:rsidR="00C3615D">
        <w:t>.</w:t>
      </w:r>
      <w:r w:rsidR="00757E45">
        <w:t xml:space="preserve"> Die drei Templates werden für die Validierung gleichwertig gewichtet.</w:t>
      </w:r>
    </w:p>
    <w:p w14:paraId="5961D43E" w14:textId="77777777" w:rsidR="00CA5A01" w:rsidRDefault="00CA5A01" w:rsidP="00757E45">
      <w:pPr>
        <w:spacing w:line="360" w:lineRule="auto"/>
      </w:pPr>
    </w:p>
    <w:p w14:paraId="1918406B" w14:textId="77777777" w:rsidR="00CA5A01" w:rsidRDefault="00CA5A01" w:rsidP="00757E45">
      <w:pPr>
        <w:spacing w:line="360" w:lineRule="auto"/>
      </w:pPr>
      <w:r>
        <w:t xml:space="preserve">Für jede Anforderung in den Templates wird ein MSG Self-Assessment abgefragt. Ein erster Vorschlag wurde von Seiten des </w:t>
      </w:r>
      <w:r w:rsidRPr="00BA0050">
        <w:rPr>
          <w:u w:val="single"/>
        </w:rPr>
        <w:t>D-EITI Sekretariats</w:t>
      </w:r>
      <w:r>
        <w:t xml:space="preserve"> eingetragen. Die MSG wird gebeten die Vorschläge zu prüfen und ggf. zu ergänzen bzw. anzupassen.</w:t>
      </w:r>
    </w:p>
    <w:p w14:paraId="526BFFF1" w14:textId="77777777" w:rsidR="00765787" w:rsidRDefault="00765787" w:rsidP="00757E45">
      <w:pPr>
        <w:spacing w:line="360" w:lineRule="auto"/>
      </w:pPr>
    </w:p>
    <w:p w14:paraId="1446ADCD" w14:textId="77777777" w:rsidR="00765787" w:rsidRDefault="00765787" w:rsidP="00757E45">
      <w:pPr>
        <w:spacing w:line="360" w:lineRule="auto"/>
      </w:pPr>
      <w:r>
        <w:t xml:space="preserve">Die Stellen, die </w:t>
      </w:r>
      <w:r w:rsidR="008D2662">
        <w:t xml:space="preserve">zudem </w:t>
      </w:r>
      <w:r>
        <w:t>einer verstärkten Prüfung durch die MSG bedürfen bzw. weiteren Input der MSG erfordern, sind in den Templates blau markiert. Die gelben Markierungen sind als Merker für das D-EITI Sekretariat zu verstehen.</w:t>
      </w:r>
    </w:p>
    <w:p w14:paraId="76863E80" w14:textId="77777777" w:rsidR="00BD7A9D" w:rsidRDefault="00BD7A9D" w:rsidP="00757E45">
      <w:pPr>
        <w:spacing w:line="360" w:lineRule="auto"/>
      </w:pPr>
    </w:p>
    <w:p w14:paraId="1718BB13" w14:textId="77777777" w:rsidR="00CA5A01" w:rsidRDefault="00CA5A01" w:rsidP="00757E45">
      <w:pPr>
        <w:spacing w:line="360" w:lineRule="auto"/>
      </w:pPr>
      <w:r>
        <w:t xml:space="preserve">Das </w:t>
      </w:r>
      <w:r w:rsidRPr="002935F2">
        <w:rPr>
          <w:u w:val="single"/>
        </w:rPr>
        <w:t>D-EITI Sekretariat</w:t>
      </w:r>
      <w:r>
        <w:t xml:space="preserve"> bittet um Rückmeldungen der Stakeholdergruppen zu den Templates bis zum Koordinator/innentreffen am 14.09.2023.</w:t>
      </w:r>
    </w:p>
    <w:p w14:paraId="2ACD8412" w14:textId="77777777" w:rsidR="005A49CF" w:rsidRPr="005A49CF" w:rsidRDefault="005A49CF" w:rsidP="005A49CF">
      <w:pPr>
        <w:spacing w:before="120"/>
        <w:rPr>
          <w:b/>
          <w:bCs/>
        </w:rPr>
      </w:pPr>
      <w:r w:rsidRPr="005A49CF">
        <w:rPr>
          <w:b/>
          <w:bCs/>
        </w:rPr>
        <w:t>Transparency Template</w:t>
      </w:r>
    </w:p>
    <w:p w14:paraId="29507AE9" w14:textId="77777777" w:rsidR="00D30675" w:rsidRDefault="00923190" w:rsidP="00757E45">
      <w:pPr>
        <w:spacing w:before="120" w:line="360" w:lineRule="auto"/>
        <w:ind w:left="142"/>
      </w:pPr>
      <w:r>
        <w:t>D</w:t>
      </w:r>
      <w:r w:rsidR="005A49CF">
        <w:t xml:space="preserve">as </w:t>
      </w:r>
      <w:r w:rsidR="005A49CF" w:rsidRPr="005A49CF">
        <w:rPr>
          <w:u w:val="single"/>
        </w:rPr>
        <w:t>D-EITI Sekretariat</w:t>
      </w:r>
      <w:r w:rsidR="005A49CF">
        <w:t xml:space="preserve"> stellt das Transparency Template vor, welches die Standardanforderungen 2-6 gemäß EITI Standard 2019 abdeckt.  </w:t>
      </w:r>
    </w:p>
    <w:p w14:paraId="0F88045B" w14:textId="77777777" w:rsidR="00174A32" w:rsidRDefault="00174A32" w:rsidP="00757E45">
      <w:pPr>
        <w:spacing w:before="120" w:line="360" w:lineRule="auto"/>
        <w:ind w:left="142"/>
      </w:pPr>
      <w:r>
        <w:t xml:space="preserve">In Hinblick auf die bevorstehende Validierung hebt das </w:t>
      </w:r>
      <w:r w:rsidRPr="00174A32">
        <w:rPr>
          <w:u w:val="single"/>
        </w:rPr>
        <w:t>D-EITI Sekretariat</w:t>
      </w:r>
      <w:r w:rsidRPr="00174A32">
        <w:t xml:space="preserve"> </w:t>
      </w:r>
      <w:r w:rsidR="007A64BE">
        <w:t xml:space="preserve">noch einmal </w:t>
      </w:r>
      <w:r>
        <w:t xml:space="preserve">Veränderungen </w:t>
      </w:r>
      <w:r w:rsidR="007A64BE">
        <w:t>in den EITI-Anforderungen seit der letzten Validierung hervor</w:t>
      </w:r>
      <w:r>
        <w:t xml:space="preserve">. </w:t>
      </w:r>
      <w:r w:rsidR="00BA0050">
        <w:t xml:space="preserve">Bezüglich </w:t>
      </w:r>
      <w:proofErr w:type="spellStart"/>
      <w:r w:rsidR="00BA0050">
        <w:t>Requirement</w:t>
      </w:r>
      <w:proofErr w:type="spellEnd"/>
      <w:r w:rsidR="00BA0050">
        <w:t xml:space="preserve"> 2.2 bittet das </w:t>
      </w:r>
      <w:r w:rsidR="00BA0050" w:rsidRPr="00BA0050">
        <w:rPr>
          <w:u w:val="single"/>
        </w:rPr>
        <w:t>D-EITI Sekretariat</w:t>
      </w:r>
      <w:r w:rsidR="00BA0050" w:rsidRPr="007A64BE">
        <w:t xml:space="preserve"> </w:t>
      </w:r>
      <w:r w:rsidR="00BA0050" w:rsidRPr="00BA0050">
        <w:t>um Prüfung und</w:t>
      </w:r>
      <w:r w:rsidR="00BA0050">
        <w:t xml:space="preserve"> ggf.</w:t>
      </w:r>
      <w:r w:rsidR="00BA0050" w:rsidRPr="00BA0050">
        <w:t xml:space="preserve"> </w:t>
      </w:r>
      <w:r w:rsidR="00BA0050">
        <w:t xml:space="preserve">Rückmeldung </w:t>
      </w:r>
      <w:r>
        <w:t xml:space="preserve">zum Prozess von </w:t>
      </w:r>
      <w:r w:rsidR="00BA0050">
        <w:t>Seiten der Stakeholder</w:t>
      </w:r>
      <w:r>
        <w:t>.</w:t>
      </w:r>
      <w:r w:rsidR="007A64BE">
        <w:t xml:space="preserve"> Außerdem ist zu beachten, dass </w:t>
      </w:r>
      <w:proofErr w:type="spellStart"/>
      <w:r>
        <w:t>Requirement</w:t>
      </w:r>
      <w:proofErr w:type="spellEnd"/>
      <w:r>
        <w:t xml:space="preserve"> 6.1 (</w:t>
      </w:r>
      <w:proofErr w:type="spellStart"/>
      <w:r>
        <w:t>Social</w:t>
      </w:r>
      <w:proofErr w:type="spellEnd"/>
      <w:r>
        <w:t xml:space="preserve"> and Environmental </w:t>
      </w:r>
      <w:proofErr w:type="spellStart"/>
      <w:r>
        <w:t>Expenditure</w:t>
      </w:r>
      <w:proofErr w:type="spellEnd"/>
      <w:r>
        <w:t>)</w:t>
      </w:r>
      <w:r w:rsidR="007A64BE">
        <w:t xml:space="preserve"> von </w:t>
      </w:r>
      <w:r>
        <w:t xml:space="preserve">‚empfohlen‘ </w:t>
      </w:r>
      <w:r w:rsidR="007A64BE">
        <w:t>auf</w:t>
      </w:r>
      <w:r>
        <w:t xml:space="preserve"> ‚verpflichtend‘ </w:t>
      </w:r>
      <w:r w:rsidR="007A64BE">
        <w:t>hochgestuft wurde.</w:t>
      </w:r>
    </w:p>
    <w:p w14:paraId="701BC403" w14:textId="77777777" w:rsidR="00C3615D" w:rsidRPr="00757E45" w:rsidRDefault="00C3615D" w:rsidP="00757E45">
      <w:pPr>
        <w:spacing w:before="120" w:line="360" w:lineRule="auto"/>
        <w:ind w:left="142"/>
        <w:rPr>
          <w:b/>
          <w:bCs/>
        </w:rPr>
      </w:pPr>
      <w:r w:rsidRPr="00757E45">
        <w:rPr>
          <w:b/>
          <w:bCs/>
        </w:rPr>
        <w:t>Stakeholder Engagement Template</w:t>
      </w:r>
    </w:p>
    <w:p w14:paraId="743BA6B1" w14:textId="77777777" w:rsidR="00757E45" w:rsidRDefault="00757E45" w:rsidP="00757E45">
      <w:pPr>
        <w:spacing w:before="120" w:line="360" w:lineRule="auto"/>
        <w:ind w:left="142"/>
      </w:pPr>
      <w:r>
        <w:lastRenderedPageBreak/>
        <w:t xml:space="preserve">Das </w:t>
      </w:r>
      <w:r w:rsidRPr="005A49CF">
        <w:rPr>
          <w:u w:val="single"/>
        </w:rPr>
        <w:t>D-EITI Sekretariat</w:t>
      </w:r>
      <w:r>
        <w:t xml:space="preserve"> stellt das Stakeholder Engagement Template vor, welches die Standardanforderungen 1 gemäß EITI Standard 2019 abdeckt.  </w:t>
      </w:r>
    </w:p>
    <w:p w14:paraId="2F76BB07" w14:textId="77777777" w:rsidR="00483461" w:rsidRDefault="007A64BE" w:rsidP="00757E45">
      <w:pPr>
        <w:spacing w:before="120" w:line="360" w:lineRule="auto"/>
        <w:ind w:left="142"/>
      </w:pPr>
      <w:r>
        <w:t xml:space="preserve">Ergänzend </w:t>
      </w:r>
      <w:r w:rsidR="00CA5A01">
        <w:t xml:space="preserve">zu den bereits eingetroffenen Rückmeldungen der Stakeholdergruppen zum Template </w:t>
      </w:r>
      <w:r>
        <w:t xml:space="preserve">bittet das </w:t>
      </w:r>
      <w:r w:rsidRPr="007A64BE">
        <w:rPr>
          <w:u w:val="single"/>
        </w:rPr>
        <w:t>D-EITI Sekretariat</w:t>
      </w:r>
      <w:r>
        <w:t xml:space="preserve"> um die Zusendung potenzieller </w:t>
      </w:r>
      <w:proofErr w:type="spellStart"/>
      <w:r>
        <w:t>AnsprechpartnerInnen</w:t>
      </w:r>
      <w:proofErr w:type="spellEnd"/>
      <w:r>
        <w:t xml:space="preserve"> außerhalb der </w:t>
      </w:r>
      <w:r w:rsidR="00CA5A01">
        <w:t>D-EITI MSG</w:t>
      </w:r>
      <w:r>
        <w:t xml:space="preserve">, die für die Rücksprache mit dem Validierungsteam zur Verfügung stehen könnten. </w:t>
      </w:r>
      <w:r w:rsidR="00483461">
        <w:t xml:space="preserve">Erste Vorschläge wurden bereits von dem Sekretariat eingereicht, die ggf. ergänzt werden sollen. </w:t>
      </w:r>
    </w:p>
    <w:p w14:paraId="78F1D694" w14:textId="77777777" w:rsidR="00483461" w:rsidRPr="002935F2" w:rsidRDefault="00483461" w:rsidP="00483461">
      <w:pPr>
        <w:spacing w:before="120"/>
        <w:rPr>
          <w:b/>
          <w:bCs/>
        </w:rPr>
      </w:pPr>
      <w:r w:rsidRPr="002935F2">
        <w:rPr>
          <w:b/>
          <w:bCs/>
        </w:rPr>
        <w:t>Outcomes and Impact Template</w:t>
      </w:r>
    </w:p>
    <w:p w14:paraId="70C1E034" w14:textId="77777777" w:rsidR="007A64BE" w:rsidRPr="00483461" w:rsidRDefault="00757E45" w:rsidP="00757E45">
      <w:pPr>
        <w:spacing w:before="120" w:line="360" w:lineRule="auto"/>
        <w:ind w:left="142"/>
      </w:pPr>
      <w:r>
        <w:t xml:space="preserve">Das </w:t>
      </w:r>
      <w:r w:rsidRPr="005A49CF">
        <w:rPr>
          <w:u w:val="single"/>
        </w:rPr>
        <w:t>D-EITI Sekretariat</w:t>
      </w:r>
      <w:r>
        <w:t xml:space="preserve"> stellt das Stakeholder Engagement Template vor, welches die Standardanforderungen 1 gemäß EITI Standard 2019 abdeckt. </w:t>
      </w:r>
    </w:p>
    <w:p w14:paraId="58C30F38" w14:textId="77777777" w:rsidR="007A64BE" w:rsidRPr="00483461" w:rsidRDefault="00906F42" w:rsidP="00757E45">
      <w:pPr>
        <w:spacing w:before="120" w:line="360" w:lineRule="auto"/>
        <w:ind w:left="142"/>
      </w:pPr>
      <w:r>
        <w:t>Anschließend</w:t>
      </w:r>
      <w:r w:rsidR="00483461">
        <w:t xml:space="preserve"> </w:t>
      </w:r>
      <w:r>
        <w:t>wird auf die</w:t>
      </w:r>
      <w:r w:rsidR="00483461">
        <w:t xml:space="preserve"> vier wesentlichen Nachfragen des internationalen EITI Sekretariats zu </w:t>
      </w:r>
      <w:proofErr w:type="spellStart"/>
      <w:r w:rsidR="00483461">
        <w:t>Requirement</w:t>
      </w:r>
      <w:proofErr w:type="spellEnd"/>
      <w:r w:rsidR="00483461">
        <w:t xml:space="preserve"> 7.1 sowie 7.4 </w:t>
      </w:r>
      <w:r>
        <w:t xml:space="preserve">eingegangen. </w:t>
      </w:r>
      <w:r w:rsidR="00483461">
        <w:t>D</w:t>
      </w:r>
      <w:r w:rsidR="006C498D">
        <w:t xml:space="preserve">iesbezüglich wird noch einmal </w:t>
      </w:r>
      <w:r>
        <w:t>die</w:t>
      </w:r>
      <w:r w:rsidR="00483461">
        <w:t xml:space="preserve"> </w:t>
      </w:r>
      <w:r>
        <w:t>Bedeutung der öffentlichen Debatte</w:t>
      </w:r>
      <w:r w:rsidR="006C498D">
        <w:t xml:space="preserve"> in Deutschland</w:t>
      </w:r>
      <w:r>
        <w:t xml:space="preserve"> </w:t>
      </w:r>
      <w:r w:rsidR="006C498D">
        <w:t>zum Thema Rohstoffe betont, die hervorgehoben werden sollte.</w:t>
      </w:r>
    </w:p>
    <w:p w14:paraId="4E2BB993" w14:textId="77777777" w:rsidR="0015069B" w:rsidRDefault="00024F6C" w:rsidP="006C498D">
      <w:pPr>
        <w:pStyle w:val="berschrift1"/>
        <w:spacing w:before="120" w:after="0"/>
        <w:rPr>
          <w:color w:val="002060"/>
        </w:rPr>
      </w:pPr>
      <w:r>
        <w:t>Nächste Schritte</w:t>
      </w:r>
    </w:p>
    <w:p w14:paraId="7E7B1B42" w14:textId="77777777" w:rsidR="0015069B" w:rsidRDefault="006C498D" w:rsidP="002935F2">
      <w:pPr>
        <w:spacing w:before="120" w:line="360" w:lineRule="auto"/>
        <w:ind w:left="142"/>
      </w:pPr>
      <w:r>
        <w:t xml:space="preserve">Das </w:t>
      </w:r>
      <w:r w:rsidRPr="006C498D">
        <w:rPr>
          <w:u w:val="single"/>
        </w:rPr>
        <w:t>D-EITI Sekretariat</w:t>
      </w:r>
      <w:r>
        <w:t xml:space="preserve"> wird die Präsentation</w:t>
      </w:r>
      <w:r w:rsidR="00CA5A01">
        <w:t xml:space="preserve"> zu den Validierungstemplates</w:t>
      </w:r>
      <w:r>
        <w:t xml:space="preserve"> sowie das Protokoll zum Austausch über kritische Punkte der D-EITI Validierung </w:t>
      </w:r>
      <w:r w:rsidR="00F36C20">
        <w:t xml:space="preserve">allen MSG Mitglieder zur Verfügung </w:t>
      </w:r>
      <w:r>
        <w:t>stellen.</w:t>
      </w:r>
      <w:r w:rsidR="00765787">
        <w:t xml:space="preserve"> Die Präsentation </w:t>
      </w:r>
      <w:r w:rsidR="00F36C20">
        <w:t>kann</w:t>
      </w:r>
      <w:r w:rsidR="00765787">
        <w:t xml:space="preserve"> als Hilfestellung zur Durchsicht und Überprüfung der Validierungstemplates genutzt werden.</w:t>
      </w:r>
    </w:p>
    <w:p w14:paraId="53D1B188" w14:textId="77777777" w:rsidR="006C498D" w:rsidRDefault="00CA5A01" w:rsidP="002935F2">
      <w:pPr>
        <w:spacing w:before="120" w:line="360" w:lineRule="auto"/>
        <w:ind w:left="142"/>
      </w:pPr>
      <w:r>
        <w:t>Das</w:t>
      </w:r>
      <w:r w:rsidR="006C498D">
        <w:t xml:space="preserve"> </w:t>
      </w:r>
      <w:r>
        <w:t xml:space="preserve">43. </w:t>
      </w:r>
      <w:proofErr w:type="spellStart"/>
      <w:r w:rsidR="006C498D">
        <w:t>KoordinatorInnentreffen</w:t>
      </w:r>
      <w:proofErr w:type="spellEnd"/>
      <w:r>
        <w:t xml:space="preserve"> wird auf den 14.09.2023 (11:00 bis 12:00 Uhr) verschoben</w:t>
      </w:r>
      <w:r w:rsidR="00A42289">
        <w:t>.</w:t>
      </w:r>
      <w:r>
        <w:t xml:space="preserve"> [nachrichtlich]</w:t>
      </w:r>
    </w:p>
    <w:p w14:paraId="2E94804E" w14:textId="77777777" w:rsidR="0015069B" w:rsidRDefault="0015069B" w:rsidP="00EA49C8">
      <w:pPr>
        <w:spacing w:before="120"/>
        <w:ind w:left="142"/>
      </w:pPr>
    </w:p>
    <w:p w14:paraId="120AF845" w14:textId="77777777" w:rsidR="005225D1" w:rsidRPr="0096323F" w:rsidRDefault="005225D1" w:rsidP="0067015A">
      <w:pPr>
        <w:spacing w:before="120"/>
      </w:pPr>
    </w:p>
    <w:sectPr w:rsidR="005225D1" w:rsidRPr="0096323F" w:rsidSect="00337CA5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56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217A" w14:textId="77777777" w:rsidR="00C47E93" w:rsidRDefault="00C47E93" w:rsidP="00EC240D">
      <w:r>
        <w:separator/>
      </w:r>
    </w:p>
  </w:endnote>
  <w:endnote w:type="continuationSeparator" w:id="0">
    <w:p w14:paraId="7611E6C2" w14:textId="77777777" w:rsidR="00C47E93" w:rsidRDefault="00C47E93" w:rsidP="00E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27781"/>
      <w:docPartObj>
        <w:docPartGallery w:val="Page Numbers (Bottom of Page)"/>
        <w:docPartUnique/>
      </w:docPartObj>
    </w:sdtPr>
    <w:sdtEndPr/>
    <w:sdtContent>
      <w:p w14:paraId="7A3D86BF" w14:textId="77777777" w:rsidR="005225D1" w:rsidRDefault="005225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7396F" w14:textId="77777777" w:rsidR="004D4346" w:rsidRPr="0078588D" w:rsidRDefault="004D4346" w:rsidP="0078588D">
    <w:pPr>
      <w:pStyle w:val="Fuzeile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F415" w14:textId="77777777" w:rsidR="00C47E93" w:rsidRDefault="00C47E93" w:rsidP="00EC240D">
      <w:r>
        <w:separator/>
      </w:r>
    </w:p>
  </w:footnote>
  <w:footnote w:type="continuationSeparator" w:id="0">
    <w:p w14:paraId="318188CF" w14:textId="77777777" w:rsidR="00C47E93" w:rsidRDefault="00C47E93" w:rsidP="00EC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8D9" w14:textId="77777777" w:rsidR="00A02ECE" w:rsidRDefault="00EC240D" w:rsidP="00EC240D">
    <w:pPr>
      <w:pStyle w:val="Kopfzeile"/>
    </w:pPr>
    <w:r>
      <w:rPr>
        <w:noProof/>
      </w:rPr>
      <w:drawing>
        <wp:inline distT="0" distB="0" distL="0" distR="0" wp14:anchorId="686BEE92" wp14:editId="0FAC5226">
          <wp:extent cx="1769110" cy="308610"/>
          <wp:effectExtent l="0" t="0" r="2540" b="0"/>
          <wp:docPr id="20" name="Grafik 20" descr="B-D-EITI Logo ohne Vorbereitungs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-D-EITI Logo ohne Vorbereitungsgrup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EC75" w14:textId="77777777" w:rsidR="00B5024B" w:rsidRDefault="00337CA5" w:rsidP="00EC240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D83FFD" wp14:editId="631BB1FD">
          <wp:simplePos x="0" y="0"/>
          <wp:positionH relativeFrom="column">
            <wp:posOffset>3636010</wp:posOffset>
          </wp:positionH>
          <wp:positionV relativeFrom="paragraph">
            <wp:posOffset>-135255</wp:posOffset>
          </wp:positionV>
          <wp:extent cx="1800000" cy="615600"/>
          <wp:effectExtent l="0" t="0" r="0" b="0"/>
          <wp:wrapNone/>
          <wp:docPr id="21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81BB8" w14:textId="77777777" w:rsidR="00B5024B" w:rsidRDefault="00B5024B" w:rsidP="00EC240D">
    <w:pPr>
      <w:pStyle w:val="Kopfzeile"/>
    </w:pPr>
  </w:p>
  <w:p w14:paraId="1B5C4C2B" w14:textId="77777777" w:rsidR="00B5024B" w:rsidRDefault="00B5024B" w:rsidP="00EC240D">
    <w:pPr>
      <w:pStyle w:val="Kopfzeile"/>
    </w:pPr>
  </w:p>
  <w:p w14:paraId="3EE2DDCB" w14:textId="77777777" w:rsidR="0019449A" w:rsidRDefault="0019449A" w:rsidP="00EC240D">
    <w:pPr>
      <w:pStyle w:val="Kopfzeile"/>
    </w:pPr>
  </w:p>
  <w:p w14:paraId="20639C39" w14:textId="77777777" w:rsidR="00B5024B" w:rsidRDefault="00B5024B" w:rsidP="00EC24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6E95" w14:textId="77777777" w:rsidR="00337CA5" w:rsidRDefault="00337CA5" w:rsidP="00337CA5">
    <w:pPr>
      <w:pStyle w:val="Kopfzeile"/>
      <w:tabs>
        <w:tab w:val="clear" w:pos="4536"/>
        <w:tab w:val="clear" w:pos="9072"/>
        <w:tab w:val="left" w:pos="592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8881206" wp14:editId="57284539">
          <wp:simplePos x="0" y="0"/>
          <wp:positionH relativeFrom="column">
            <wp:posOffset>3857625</wp:posOffset>
          </wp:positionH>
          <wp:positionV relativeFrom="paragraph">
            <wp:posOffset>-143510</wp:posOffset>
          </wp:positionV>
          <wp:extent cx="1800000" cy="615600"/>
          <wp:effectExtent l="0" t="0" r="0" b="0"/>
          <wp:wrapNone/>
          <wp:docPr id="2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875"/>
    <w:multiLevelType w:val="hybridMultilevel"/>
    <w:tmpl w:val="00BA47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617C"/>
    <w:multiLevelType w:val="hybridMultilevel"/>
    <w:tmpl w:val="123AB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6A6B"/>
    <w:multiLevelType w:val="hybridMultilevel"/>
    <w:tmpl w:val="9DAAF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F49"/>
    <w:multiLevelType w:val="hybridMultilevel"/>
    <w:tmpl w:val="DF7E9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96CE8"/>
    <w:multiLevelType w:val="multilevel"/>
    <w:tmpl w:val="8B8C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64F12"/>
    <w:multiLevelType w:val="hybridMultilevel"/>
    <w:tmpl w:val="ABA0C682"/>
    <w:lvl w:ilvl="0" w:tplc="7018BCAC">
      <w:start w:val="4"/>
      <w:numFmt w:val="bullet"/>
      <w:lvlText w:val=""/>
      <w:lvlJc w:val="left"/>
      <w:pPr>
        <w:ind w:left="765" w:hanging="405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210"/>
    <w:multiLevelType w:val="hybridMultilevel"/>
    <w:tmpl w:val="72E2C924"/>
    <w:lvl w:ilvl="0" w:tplc="3CF28DD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1271F"/>
    <w:multiLevelType w:val="hybridMultilevel"/>
    <w:tmpl w:val="F8BA8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4A2B"/>
    <w:multiLevelType w:val="hybridMultilevel"/>
    <w:tmpl w:val="338A8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A2DC7"/>
    <w:multiLevelType w:val="hybridMultilevel"/>
    <w:tmpl w:val="F370BB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21EAB"/>
    <w:multiLevelType w:val="hybridMultilevel"/>
    <w:tmpl w:val="6FFA46FE"/>
    <w:lvl w:ilvl="0" w:tplc="CDAE0BF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4778"/>
    <w:multiLevelType w:val="hybridMultilevel"/>
    <w:tmpl w:val="110C7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5B12"/>
    <w:multiLevelType w:val="hybridMultilevel"/>
    <w:tmpl w:val="33A4752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2E5DEA"/>
    <w:multiLevelType w:val="hybridMultilevel"/>
    <w:tmpl w:val="C588AF5A"/>
    <w:lvl w:ilvl="0" w:tplc="AD32F272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E640D"/>
    <w:multiLevelType w:val="hybridMultilevel"/>
    <w:tmpl w:val="E42C0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A259B6"/>
    <w:multiLevelType w:val="hybridMultilevel"/>
    <w:tmpl w:val="9610622C"/>
    <w:lvl w:ilvl="0" w:tplc="F482A8F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1172"/>
    <w:multiLevelType w:val="hybridMultilevel"/>
    <w:tmpl w:val="4B6CC1A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4D3191"/>
    <w:multiLevelType w:val="hybridMultilevel"/>
    <w:tmpl w:val="966C49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06E38"/>
    <w:multiLevelType w:val="hybridMultilevel"/>
    <w:tmpl w:val="8ACE80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26CB"/>
    <w:multiLevelType w:val="hybridMultilevel"/>
    <w:tmpl w:val="E5E03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51DA"/>
    <w:multiLevelType w:val="hybridMultilevel"/>
    <w:tmpl w:val="9DFE972E"/>
    <w:lvl w:ilvl="0" w:tplc="6688E6EC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56304"/>
    <w:multiLevelType w:val="hybridMultilevel"/>
    <w:tmpl w:val="26362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C0AF0"/>
    <w:multiLevelType w:val="hybridMultilevel"/>
    <w:tmpl w:val="EAC06CDE"/>
    <w:lvl w:ilvl="0" w:tplc="1BF4A68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61212"/>
    <w:multiLevelType w:val="hybridMultilevel"/>
    <w:tmpl w:val="00B2EB98"/>
    <w:lvl w:ilvl="0" w:tplc="6804D52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14716"/>
    <w:multiLevelType w:val="hybridMultilevel"/>
    <w:tmpl w:val="C4BE3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F1D9D"/>
    <w:multiLevelType w:val="hybridMultilevel"/>
    <w:tmpl w:val="3E7204DE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006F6F"/>
    <w:multiLevelType w:val="hybridMultilevel"/>
    <w:tmpl w:val="7D70BE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E30B6A"/>
    <w:multiLevelType w:val="hybridMultilevel"/>
    <w:tmpl w:val="FEDCD8EE"/>
    <w:lvl w:ilvl="0" w:tplc="0D9EE3F6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402FF"/>
    <w:multiLevelType w:val="hybridMultilevel"/>
    <w:tmpl w:val="3AC88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D5637"/>
    <w:multiLevelType w:val="hybridMultilevel"/>
    <w:tmpl w:val="8CF05F36"/>
    <w:lvl w:ilvl="0" w:tplc="850C8AC0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6968"/>
    <w:multiLevelType w:val="hybridMultilevel"/>
    <w:tmpl w:val="EE549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C3317"/>
    <w:multiLevelType w:val="hybridMultilevel"/>
    <w:tmpl w:val="5D4C9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5EDE"/>
    <w:multiLevelType w:val="hybridMultilevel"/>
    <w:tmpl w:val="BC4A0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E4346"/>
    <w:multiLevelType w:val="hybridMultilevel"/>
    <w:tmpl w:val="322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CC32D0"/>
    <w:multiLevelType w:val="hybridMultilevel"/>
    <w:tmpl w:val="32E29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164C7"/>
    <w:multiLevelType w:val="hybridMultilevel"/>
    <w:tmpl w:val="A5D20FDC"/>
    <w:lvl w:ilvl="0" w:tplc="F9D2B732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1076"/>
    <w:multiLevelType w:val="hybridMultilevel"/>
    <w:tmpl w:val="5686C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F3391"/>
    <w:multiLevelType w:val="hybridMultilevel"/>
    <w:tmpl w:val="7FF8C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6084">
    <w:abstractNumId w:val="4"/>
  </w:num>
  <w:num w:numId="2" w16cid:durableId="493841007">
    <w:abstractNumId w:val="16"/>
  </w:num>
  <w:num w:numId="3" w16cid:durableId="2011133868">
    <w:abstractNumId w:val="23"/>
  </w:num>
  <w:num w:numId="4" w16cid:durableId="1289125587">
    <w:abstractNumId w:val="11"/>
  </w:num>
  <w:num w:numId="5" w16cid:durableId="1641224856">
    <w:abstractNumId w:val="0"/>
  </w:num>
  <w:num w:numId="6" w16cid:durableId="782916331">
    <w:abstractNumId w:val="9"/>
  </w:num>
  <w:num w:numId="7" w16cid:durableId="201946975">
    <w:abstractNumId w:val="3"/>
  </w:num>
  <w:num w:numId="8" w16cid:durableId="2078900016">
    <w:abstractNumId w:val="34"/>
  </w:num>
  <w:num w:numId="9" w16cid:durableId="1268779005">
    <w:abstractNumId w:val="21"/>
  </w:num>
  <w:num w:numId="10" w16cid:durableId="902135542">
    <w:abstractNumId w:val="33"/>
  </w:num>
  <w:num w:numId="11" w16cid:durableId="924917213">
    <w:abstractNumId w:val="17"/>
  </w:num>
  <w:num w:numId="12" w16cid:durableId="121922361">
    <w:abstractNumId w:val="30"/>
  </w:num>
  <w:num w:numId="13" w16cid:durableId="1873610384">
    <w:abstractNumId w:val="37"/>
  </w:num>
  <w:num w:numId="14" w16cid:durableId="434247671">
    <w:abstractNumId w:val="14"/>
  </w:num>
  <w:num w:numId="15" w16cid:durableId="770931987">
    <w:abstractNumId w:val="18"/>
  </w:num>
  <w:num w:numId="16" w16cid:durableId="977761614">
    <w:abstractNumId w:val="2"/>
  </w:num>
  <w:num w:numId="17" w16cid:durableId="864832775">
    <w:abstractNumId w:val="12"/>
  </w:num>
  <w:num w:numId="18" w16cid:durableId="650407073">
    <w:abstractNumId w:val="31"/>
  </w:num>
  <w:num w:numId="19" w16cid:durableId="586350743">
    <w:abstractNumId w:val="7"/>
  </w:num>
  <w:num w:numId="20" w16cid:durableId="922375498">
    <w:abstractNumId w:val="24"/>
  </w:num>
  <w:num w:numId="21" w16cid:durableId="696736015">
    <w:abstractNumId w:val="8"/>
  </w:num>
  <w:num w:numId="22" w16cid:durableId="553394121">
    <w:abstractNumId w:val="1"/>
  </w:num>
  <w:num w:numId="23" w16cid:durableId="535893641">
    <w:abstractNumId w:val="15"/>
  </w:num>
  <w:num w:numId="24" w16cid:durableId="528682298">
    <w:abstractNumId w:val="5"/>
  </w:num>
  <w:num w:numId="25" w16cid:durableId="1202018019">
    <w:abstractNumId w:val="32"/>
  </w:num>
  <w:num w:numId="26" w16cid:durableId="268971244">
    <w:abstractNumId w:val="28"/>
  </w:num>
  <w:num w:numId="27" w16cid:durableId="1497377150">
    <w:abstractNumId w:val="19"/>
  </w:num>
  <w:num w:numId="28" w16cid:durableId="669604804">
    <w:abstractNumId w:val="26"/>
  </w:num>
  <w:num w:numId="29" w16cid:durableId="820581756">
    <w:abstractNumId w:val="10"/>
  </w:num>
  <w:num w:numId="30" w16cid:durableId="263419945">
    <w:abstractNumId w:val="27"/>
  </w:num>
  <w:num w:numId="31" w16cid:durableId="1831367890">
    <w:abstractNumId w:val="20"/>
  </w:num>
  <w:num w:numId="32" w16cid:durableId="90786093">
    <w:abstractNumId w:val="22"/>
  </w:num>
  <w:num w:numId="33" w16cid:durableId="1676565766">
    <w:abstractNumId w:val="13"/>
  </w:num>
  <w:num w:numId="34" w16cid:durableId="622886731">
    <w:abstractNumId w:val="35"/>
  </w:num>
  <w:num w:numId="35" w16cid:durableId="2022387896">
    <w:abstractNumId w:val="6"/>
  </w:num>
  <w:num w:numId="36" w16cid:durableId="833229471">
    <w:abstractNumId w:val="25"/>
  </w:num>
  <w:num w:numId="37" w16cid:durableId="62606500">
    <w:abstractNumId w:val="36"/>
  </w:num>
  <w:num w:numId="38" w16cid:durableId="5854633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5C"/>
    <w:rsid w:val="00001AF0"/>
    <w:rsid w:val="00006257"/>
    <w:rsid w:val="00006BE7"/>
    <w:rsid w:val="0001458D"/>
    <w:rsid w:val="00021B54"/>
    <w:rsid w:val="000230B8"/>
    <w:rsid w:val="00024F6C"/>
    <w:rsid w:val="00027FBB"/>
    <w:rsid w:val="00031E43"/>
    <w:rsid w:val="00032244"/>
    <w:rsid w:val="00035341"/>
    <w:rsid w:val="0003536C"/>
    <w:rsid w:val="00035C84"/>
    <w:rsid w:val="000372F6"/>
    <w:rsid w:val="00040AFE"/>
    <w:rsid w:val="00040BA9"/>
    <w:rsid w:val="00041BA8"/>
    <w:rsid w:val="00042698"/>
    <w:rsid w:val="0004644F"/>
    <w:rsid w:val="00047584"/>
    <w:rsid w:val="000510D5"/>
    <w:rsid w:val="00052B20"/>
    <w:rsid w:val="00052DB2"/>
    <w:rsid w:val="00053290"/>
    <w:rsid w:val="00053824"/>
    <w:rsid w:val="00055EF0"/>
    <w:rsid w:val="00056DA5"/>
    <w:rsid w:val="000577AF"/>
    <w:rsid w:val="00064FC3"/>
    <w:rsid w:val="00067301"/>
    <w:rsid w:val="00071EA3"/>
    <w:rsid w:val="0007448B"/>
    <w:rsid w:val="0007683C"/>
    <w:rsid w:val="00082AC1"/>
    <w:rsid w:val="00082BF4"/>
    <w:rsid w:val="000831DB"/>
    <w:rsid w:val="00083A7A"/>
    <w:rsid w:val="000842A8"/>
    <w:rsid w:val="00087DAF"/>
    <w:rsid w:val="00090DC1"/>
    <w:rsid w:val="000914C6"/>
    <w:rsid w:val="00093D7C"/>
    <w:rsid w:val="000940D2"/>
    <w:rsid w:val="00094C5A"/>
    <w:rsid w:val="000A1B7D"/>
    <w:rsid w:val="000B1E87"/>
    <w:rsid w:val="000B2643"/>
    <w:rsid w:val="000B287D"/>
    <w:rsid w:val="000B3D6D"/>
    <w:rsid w:val="000C03AB"/>
    <w:rsid w:val="000C1249"/>
    <w:rsid w:val="000C38A9"/>
    <w:rsid w:val="000C778B"/>
    <w:rsid w:val="000D34D5"/>
    <w:rsid w:val="000E25CB"/>
    <w:rsid w:val="000E32E5"/>
    <w:rsid w:val="000E6477"/>
    <w:rsid w:val="000E6A68"/>
    <w:rsid w:val="000F2381"/>
    <w:rsid w:val="000F5849"/>
    <w:rsid w:val="000F7403"/>
    <w:rsid w:val="001001F3"/>
    <w:rsid w:val="001007EC"/>
    <w:rsid w:val="00101540"/>
    <w:rsid w:val="00102A16"/>
    <w:rsid w:val="00103403"/>
    <w:rsid w:val="00107366"/>
    <w:rsid w:val="00107CFF"/>
    <w:rsid w:val="001112C0"/>
    <w:rsid w:val="0011195D"/>
    <w:rsid w:val="001125BC"/>
    <w:rsid w:val="001129B1"/>
    <w:rsid w:val="0012071B"/>
    <w:rsid w:val="00122018"/>
    <w:rsid w:val="0012296F"/>
    <w:rsid w:val="00124184"/>
    <w:rsid w:val="001279F2"/>
    <w:rsid w:val="0013304E"/>
    <w:rsid w:val="0014324C"/>
    <w:rsid w:val="00146483"/>
    <w:rsid w:val="00146E32"/>
    <w:rsid w:val="0015069B"/>
    <w:rsid w:val="00150941"/>
    <w:rsid w:val="0015250E"/>
    <w:rsid w:val="00152EC6"/>
    <w:rsid w:val="0015439E"/>
    <w:rsid w:val="00163646"/>
    <w:rsid w:val="00171068"/>
    <w:rsid w:val="00174A32"/>
    <w:rsid w:val="00182DF7"/>
    <w:rsid w:val="0018769E"/>
    <w:rsid w:val="0019449A"/>
    <w:rsid w:val="0019710C"/>
    <w:rsid w:val="001A6B80"/>
    <w:rsid w:val="001B0C2C"/>
    <w:rsid w:val="001B1F92"/>
    <w:rsid w:val="001B2E11"/>
    <w:rsid w:val="001B6547"/>
    <w:rsid w:val="001C1766"/>
    <w:rsid w:val="001C45FD"/>
    <w:rsid w:val="001C48D2"/>
    <w:rsid w:val="001D1693"/>
    <w:rsid w:val="001D233F"/>
    <w:rsid w:val="001D30F6"/>
    <w:rsid w:val="001D3693"/>
    <w:rsid w:val="001D4086"/>
    <w:rsid w:val="001D4324"/>
    <w:rsid w:val="001E120D"/>
    <w:rsid w:val="001E350D"/>
    <w:rsid w:val="001F597B"/>
    <w:rsid w:val="00202095"/>
    <w:rsid w:val="00203695"/>
    <w:rsid w:val="00204DA5"/>
    <w:rsid w:val="0021104E"/>
    <w:rsid w:val="0021248E"/>
    <w:rsid w:val="00220B04"/>
    <w:rsid w:val="002279C6"/>
    <w:rsid w:val="002309E4"/>
    <w:rsid w:val="00233AA4"/>
    <w:rsid w:val="00234562"/>
    <w:rsid w:val="00234CEB"/>
    <w:rsid w:val="00236F93"/>
    <w:rsid w:val="002419A5"/>
    <w:rsid w:val="0024711B"/>
    <w:rsid w:val="00251CA9"/>
    <w:rsid w:val="00251D54"/>
    <w:rsid w:val="00261787"/>
    <w:rsid w:val="00261F05"/>
    <w:rsid w:val="0028450A"/>
    <w:rsid w:val="002874A6"/>
    <w:rsid w:val="00290349"/>
    <w:rsid w:val="00290471"/>
    <w:rsid w:val="002935F2"/>
    <w:rsid w:val="0029442A"/>
    <w:rsid w:val="00296570"/>
    <w:rsid w:val="002A010A"/>
    <w:rsid w:val="002A21A4"/>
    <w:rsid w:val="002A5402"/>
    <w:rsid w:val="002B16F3"/>
    <w:rsid w:val="002B4031"/>
    <w:rsid w:val="002B4663"/>
    <w:rsid w:val="002B48C0"/>
    <w:rsid w:val="002B6036"/>
    <w:rsid w:val="002B644B"/>
    <w:rsid w:val="002B71E3"/>
    <w:rsid w:val="002C1172"/>
    <w:rsid w:val="002C1E6F"/>
    <w:rsid w:val="002C2A0D"/>
    <w:rsid w:val="002C2A83"/>
    <w:rsid w:val="002C3E3D"/>
    <w:rsid w:val="002C549E"/>
    <w:rsid w:val="002C65EF"/>
    <w:rsid w:val="002D337D"/>
    <w:rsid w:val="002D373E"/>
    <w:rsid w:val="002D5B54"/>
    <w:rsid w:val="002E01ED"/>
    <w:rsid w:val="002E775A"/>
    <w:rsid w:val="002F74BE"/>
    <w:rsid w:val="003003F9"/>
    <w:rsid w:val="003030AC"/>
    <w:rsid w:val="003030CC"/>
    <w:rsid w:val="0030621F"/>
    <w:rsid w:val="00306EEE"/>
    <w:rsid w:val="00311D03"/>
    <w:rsid w:val="00313251"/>
    <w:rsid w:val="00314CCD"/>
    <w:rsid w:val="003206AA"/>
    <w:rsid w:val="00323D18"/>
    <w:rsid w:val="00323FE1"/>
    <w:rsid w:val="00327C04"/>
    <w:rsid w:val="00327F3D"/>
    <w:rsid w:val="00327FD6"/>
    <w:rsid w:val="00331406"/>
    <w:rsid w:val="00332499"/>
    <w:rsid w:val="003341DC"/>
    <w:rsid w:val="00337CA5"/>
    <w:rsid w:val="00340631"/>
    <w:rsid w:val="003429F5"/>
    <w:rsid w:val="0034398A"/>
    <w:rsid w:val="00345034"/>
    <w:rsid w:val="003473A9"/>
    <w:rsid w:val="00351792"/>
    <w:rsid w:val="00352406"/>
    <w:rsid w:val="003529C5"/>
    <w:rsid w:val="00356374"/>
    <w:rsid w:val="00356F47"/>
    <w:rsid w:val="00357EDD"/>
    <w:rsid w:val="003672BE"/>
    <w:rsid w:val="00367DB2"/>
    <w:rsid w:val="003701F5"/>
    <w:rsid w:val="00374EE3"/>
    <w:rsid w:val="00377378"/>
    <w:rsid w:val="00381BF1"/>
    <w:rsid w:val="003840E3"/>
    <w:rsid w:val="003848AF"/>
    <w:rsid w:val="003866B4"/>
    <w:rsid w:val="00386E92"/>
    <w:rsid w:val="00387626"/>
    <w:rsid w:val="00387B6F"/>
    <w:rsid w:val="00392388"/>
    <w:rsid w:val="00394A22"/>
    <w:rsid w:val="00396367"/>
    <w:rsid w:val="003972D4"/>
    <w:rsid w:val="003A16E3"/>
    <w:rsid w:val="003A3174"/>
    <w:rsid w:val="003B0099"/>
    <w:rsid w:val="003B0EB3"/>
    <w:rsid w:val="003B1BC8"/>
    <w:rsid w:val="003C6E5C"/>
    <w:rsid w:val="003D303D"/>
    <w:rsid w:val="003D3F7E"/>
    <w:rsid w:val="003D42DF"/>
    <w:rsid w:val="003E12A5"/>
    <w:rsid w:val="003F1324"/>
    <w:rsid w:val="003F4A78"/>
    <w:rsid w:val="003F4C15"/>
    <w:rsid w:val="003F50F8"/>
    <w:rsid w:val="003F6A43"/>
    <w:rsid w:val="00406AD3"/>
    <w:rsid w:val="00407838"/>
    <w:rsid w:val="00407BD7"/>
    <w:rsid w:val="00410BE7"/>
    <w:rsid w:val="00410DFE"/>
    <w:rsid w:val="00410F73"/>
    <w:rsid w:val="00412408"/>
    <w:rsid w:val="00415001"/>
    <w:rsid w:val="0041570E"/>
    <w:rsid w:val="0042144C"/>
    <w:rsid w:val="00422FBB"/>
    <w:rsid w:val="004339D3"/>
    <w:rsid w:val="00433AE4"/>
    <w:rsid w:val="00434871"/>
    <w:rsid w:val="00434EA1"/>
    <w:rsid w:val="00435BE8"/>
    <w:rsid w:val="0044145F"/>
    <w:rsid w:val="00443F8D"/>
    <w:rsid w:val="0045384C"/>
    <w:rsid w:val="00456994"/>
    <w:rsid w:val="00462E49"/>
    <w:rsid w:val="00463922"/>
    <w:rsid w:val="00467C1C"/>
    <w:rsid w:val="00471C72"/>
    <w:rsid w:val="004725E6"/>
    <w:rsid w:val="00472970"/>
    <w:rsid w:val="004760D7"/>
    <w:rsid w:val="00476D74"/>
    <w:rsid w:val="00481889"/>
    <w:rsid w:val="00483461"/>
    <w:rsid w:val="00485867"/>
    <w:rsid w:val="004859F0"/>
    <w:rsid w:val="00491B33"/>
    <w:rsid w:val="00496CB0"/>
    <w:rsid w:val="004A187A"/>
    <w:rsid w:val="004A2785"/>
    <w:rsid w:val="004A4EC9"/>
    <w:rsid w:val="004A4F41"/>
    <w:rsid w:val="004A7F36"/>
    <w:rsid w:val="004B0D83"/>
    <w:rsid w:val="004B14B8"/>
    <w:rsid w:val="004B568F"/>
    <w:rsid w:val="004B71F6"/>
    <w:rsid w:val="004C0007"/>
    <w:rsid w:val="004C7B44"/>
    <w:rsid w:val="004D309C"/>
    <w:rsid w:val="004D4346"/>
    <w:rsid w:val="004D6116"/>
    <w:rsid w:val="004D6976"/>
    <w:rsid w:val="004E2C31"/>
    <w:rsid w:val="004E72B0"/>
    <w:rsid w:val="004E7784"/>
    <w:rsid w:val="004F0A8E"/>
    <w:rsid w:val="004F33CE"/>
    <w:rsid w:val="004F5584"/>
    <w:rsid w:val="004F59C2"/>
    <w:rsid w:val="0050287C"/>
    <w:rsid w:val="00502D67"/>
    <w:rsid w:val="00502F34"/>
    <w:rsid w:val="00513720"/>
    <w:rsid w:val="005144F8"/>
    <w:rsid w:val="00515887"/>
    <w:rsid w:val="00515D36"/>
    <w:rsid w:val="005167CB"/>
    <w:rsid w:val="00517121"/>
    <w:rsid w:val="005177DD"/>
    <w:rsid w:val="00521699"/>
    <w:rsid w:val="005222B9"/>
    <w:rsid w:val="005225D1"/>
    <w:rsid w:val="00522EF7"/>
    <w:rsid w:val="00522EFD"/>
    <w:rsid w:val="0052405F"/>
    <w:rsid w:val="00533F68"/>
    <w:rsid w:val="0053451C"/>
    <w:rsid w:val="00540528"/>
    <w:rsid w:val="00541D77"/>
    <w:rsid w:val="005420FC"/>
    <w:rsid w:val="00542470"/>
    <w:rsid w:val="00542983"/>
    <w:rsid w:val="00546910"/>
    <w:rsid w:val="00551C49"/>
    <w:rsid w:val="0055412F"/>
    <w:rsid w:val="00555F69"/>
    <w:rsid w:val="00557159"/>
    <w:rsid w:val="00560ABC"/>
    <w:rsid w:val="00562B6C"/>
    <w:rsid w:val="00562C0D"/>
    <w:rsid w:val="00565200"/>
    <w:rsid w:val="005716DD"/>
    <w:rsid w:val="005829AA"/>
    <w:rsid w:val="00583E9E"/>
    <w:rsid w:val="005944B4"/>
    <w:rsid w:val="00595136"/>
    <w:rsid w:val="005A3E6E"/>
    <w:rsid w:val="005A49CF"/>
    <w:rsid w:val="005A52C0"/>
    <w:rsid w:val="005A6446"/>
    <w:rsid w:val="005A6564"/>
    <w:rsid w:val="005A72E1"/>
    <w:rsid w:val="005B14CF"/>
    <w:rsid w:val="005B4954"/>
    <w:rsid w:val="005B58BC"/>
    <w:rsid w:val="005B624E"/>
    <w:rsid w:val="005B7685"/>
    <w:rsid w:val="005C35A9"/>
    <w:rsid w:val="005C4319"/>
    <w:rsid w:val="005C617F"/>
    <w:rsid w:val="005D05E9"/>
    <w:rsid w:val="005D0B14"/>
    <w:rsid w:val="005D361F"/>
    <w:rsid w:val="005D4065"/>
    <w:rsid w:val="005D4C1A"/>
    <w:rsid w:val="005D7802"/>
    <w:rsid w:val="005D7904"/>
    <w:rsid w:val="005E04B1"/>
    <w:rsid w:val="005F17F6"/>
    <w:rsid w:val="005F3119"/>
    <w:rsid w:val="006049D1"/>
    <w:rsid w:val="006062FE"/>
    <w:rsid w:val="00607BB7"/>
    <w:rsid w:val="006110CB"/>
    <w:rsid w:val="0061483D"/>
    <w:rsid w:val="006158E5"/>
    <w:rsid w:val="00621845"/>
    <w:rsid w:val="0062311D"/>
    <w:rsid w:val="006332F5"/>
    <w:rsid w:val="00633F80"/>
    <w:rsid w:val="00634215"/>
    <w:rsid w:val="00637D94"/>
    <w:rsid w:val="006432AB"/>
    <w:rsid w:val="00646CDE"/>
    <w:rsid w:val="00646D11"/>
    <w:rsid w:val="00647C0F"/>
    <w:rsid w:val="00652515"/>
    <w:rsid w:val="00653CAE"/>
    <w:rsid w:val="0065587F"/>
    <w:rsid w:val="00663DF7"/>
    <w:rsid w:val="006657B5"/>
    <w:rsid w:val="00666F08"/>
    <w:rsid w:val="0067015A"/>
    <w:rsid w:val="00675A34"/>
    <w:rsid w:val="00684431"/>
    <w:rsid w:val="006850F2"/>
    <w:rsid w:val="006909BA"/>
    <w:rsid w:val="00692A90"/>
    <w:rsid w:val="00693892"/>
    <w:rsid w:val="00697746"/>
    <w:rsid w:val="006A6F53"/>
    <w:rsid w:val="006A77BF"/>
    <w:rsid w:val="006B2148"/>
    <w:rsid w:val="006B6152"/>
    <w:rsid w:val="006C3668"/>
    <w:rsid w:val="006C498D"/>
    <w:rsid w:val="006C5A1D"/>
    <w:rsid w:val="006C6782"/>
    <w:rsid w:val="006C6D5F"/>
    <w:rsid w:val="006C6DD3"/>
    <w:rsid w:val="006D1E06"/>
    <w:rsid w:val="006D3A5A"/>
    <w:rsid w:val="006D727D"/>
    <w:rsid w:val="006E189B"/>
    <w:rsid w:val="006E3E1F"/>
    <w:rsid w:val="006E631D"/>
    <w:rsid w:val="00700323"/>
    <w:rsid w:val="007030A9"/>
    <w:rsid w:val="007037E3"/>
    <w:rsid w:val="00703817"/>
    <w:rsid w:val="00712391"/>
    <w:rsid w:val="00714378"/>
    <w:rsid w:val="0072057D"/>
    <w:rsid w:val="00721A69"/>
    <w:rsid w:val="0072291E"/>
    <w:rsid w:val="007308C3"/>
    <w:rsid w:val="00731342"/>
    <w:rsid w:val="0073564C"/>
    <w:rsid w:val="00744B42"/>
    <w:rsid w:val="00745CD7"/>
    <w:rsid w:val="00746026"/>
    <w:rsid w:val="00750A59"/>
    <w:rsid w:val="007529F8"/>
    <w:rsid w:val="0075474B"/>
    <w:rsid w:val="007568CA"/>
    <w:rsid w:val="00757E45"/>
    <w:rsid w:val="00757F7A"/>
    <w:rsid w:val="00760557"/>
    <w:rsid w:val="00762D87"/>
    <w:rsid w:val="00765787"/>
    <w:rsid w:val="00767DE7"/>
    <w:rsid w:val="0077232C"/>
    <w:rsid w:val="00774958"/>
    <w:rsid w:val="00775EE3"/>
    <w:rsid w:val="00776E19"/>
    <w:rsid w:val="00777190"/>
    <w:rsid w:val="007802A3"/>
    <w:rsid w:val="0078249B"/>
    <w:rsid w:val="0078275C"/>
    <w:rsid w:val="00783121"/>
    <w:rsid w:val="0078588D"/>
    <w:rsid w:val="00785A65"/>
    <w:rsid w:val="0078674E"/>
    <w:rsid w:val="007879B4"/>
    <w:rsid w:val="00793FBA"/>
    <w:rsid w:val="007953CD"/>
    <w:rsid w:val="007A1EB8"/>
    <w:rsid w:val="007A4F66"/>
    <w:rsid w:val="007A5A33"/>
    <w:rsid w:val="007A64BE"/>
    <w:rsid w:val="007B5434"/>
    <w:rsid w:val="007C5CB7"/>
    <w:rsid w:val="007C5D66"/>
    <w:rsid w:val="007D1807"/>
    <w:rsid w:val="007D3164"/>
    <w:rsid w:val="007D3A0E"/>
    <w:rsid w:val="007E00A0"/>
    <w:rsid w:val="007E0C46"/>
    <w:rsid w:val="007E23AF"/>
    <w:rsid w:val="007E24B1"/>
    <w:rsid w:val="007E24FF"/>
    <w:rsid w:val="007E2EF4"/>
    <w:rsid w:val="007F6509"/>
    <w:rsid w:val="007F6DD0"/>
    <w:rsid w:val="00800CE3"/>
    <w:rsid w:val="0080333A"/>
    <w:rsid w:val="00803E97"/>
    <w:rsid w:val="00806462"/>
    <w:rsid w:val="00810EDA"/>
    <w:rsid w:val="00813CB8"/>
    <w:rsid w:val="00816B71"/>
    <w:rsid w:val="00816BDA"/>
    <w:rsid w:val="00826CB6"/>
    <w:rsid w:val="0083118C"/>
    <w:rsid w:val="00833463"/>
    <w:rsid w:val="008343F7"/>
    <w:rsid w:val="00835226"/>
    <w:rsid w:val="0083556D"/>
    <w:rsid w:val="00835AEE"/>
    <w:rsid w:val="00837343"/>
    <w:rsid w:val="00840300"/>
    <w:rsid w:val="00841DE7"/>
    <w:rsid w:val="0085004C"/>
    <w:rsid w:val="00862388"/>
    <w:rsid w:val="00864A58"/>
    <w:rsid w:val="008779E9"/>
    <w:rsid w:val="00880E1E"/>
    <w:rsid w:val="008810AF"/>
    <w:rsid w:val="00882AC5"/>
    <w:rsid w:val="008839AA"/>
    <w:rsid w:val="00885695"/>
    <w:rsid w:val="00886D31"/>
    <w:rsid w:val="008874BF"/>
    <w:rsid w:val="00890567"/>
    <w:rsid w:val="00890B67"/>
    <w:rsid w:val="00891AA7"/>
    <w:rsid w:val="00891AF0"/>
    <w:rsid w:val="0089303D"/>
    <w:rsid w:val="008A0036"/>
    <w:rsid w:val="008A060C"/>
    <w:rsid w:val="008A1133"/>
    <w:rsid w:val="008A1723"/>
    <w:rsid w:val="008B4C1B"/>
    <w:rsid w:val="008B7F99"/>
    <w:rsid w:val="008C3DE8"/>
    <w:rsid w:val="008D0DF9"/>
    <w:rsid w:val="008D2662"/>
    <w:rsid w:val="008D469B"/>
    <w:rsid w:val="008D574B"/>
    <w:rsid w:val="008E0915"/>
    <w:rsid w:val="008E456E"/>
    <w:rsid w:val="008E4F13"/>
    <w:rsid w:val="008E5B02"/>
    <w:rsid w:val="008E640D"/>
    <w:rsid w:val="008E719A"/>
    <w:rsid w:val="008E78B6"/>
    <w:rsid w:val="008F78DE"/>
    <w:rsid w:val="009031D0"/>
    <w:rsid w:val="00903294"/>
    <w:rsid w:val="00906F42"/>
    <w:rsid w:val="00917BFF"/>
    <w:rsid w:val="00920FCF"/>
    <w:rsid w:val="0092106F"/>
    <w:rsid w:val="0092193E"/>
    <w:rsid w:val="009220E0"/>
    <w:rsid w:val="009222CC"/>
    <w:rsid w:val="00923190"/>
    <w:rsid w:val="0092736D"/>
    <w:rsid w:val="009275F3"/>
    <w:rsid w:val="009351A6"/>
    <w:rsid w:val="00940895"/>
    <w:rsid w:val="00941D34"/>
    <w:rsid w:val="0094475E"/>
    <w:rsid w:val="00951837"/>
    <w:rsid w:val="0095197B"/>
    <w:rsid w:val="00956087"/>
    <w:rsid w:val="00956C8E"/>
    <w:rsid w:val="00957154"/>
    <w:rsid w:val="009609E5"/>
    <w:rsid w:val="0096323F"/>
    <w:rsid w:val="00965D0F"/>
    <w:rsid w:val="00971369"/>
    <w:rsid w:val="00977F94"/>
    <w:rsid w:val="00982451"/>
    <w:rsid w:val="009906E8"/>
    <w:rsid w:val="0099768A"/>
    <w:rsid w:val="009A7A94"/>
    <w:rsid w:val="009B2AA1"/>
    <w:rsid w:val="009B7301"/>
    <w:rsid w:val="009C1261"/>
    <w:rsid w:val="009C1C93"/>
    <w:rsid w:val="009C47F4"/>
    <w:rsid w:val="009C50EE"/>
    <w:rsid w:val="009C511C"/>
    <w:rsid w:val="009C6D69"/>
    <w:rsid w:val="009D27C2"/>
    <w:rsid w:val="009D2B68"/>
    <w:rsid w:val="009D510F"/>
    <w:rsid w:val="009D6535"/>
    <w:rsid w:val="009E0964"/>
    <w:rsid w:val="009F17DA"/>
    <w:rsid w:val="009F1A20"/>
    <w:rsid w:val="00A01868"/>
    <w:rsid w:val="00A02ECE"/>
    <w:rsid w:val="00A07647"/>
    <w:rsid w:val="00A10C2C"/>
    <w:rsid w:val="00A113AB"/>
    <w:rsid w:val="00A129A4"/>
    <w:rsid w:val="00A14463"/>
    <w:rsid w:val="00A151DB"/>
    <w:rsid w:val="00A171B8"/>
    <w:rsid w:val="00A20E2D"/>
    <w:rsid w:val="00A22674"/>
    <w:rsid w:val="00A23A44"/>
    <w:rsid w:val="00A260EE"/>
    <w:rsid w:val="00A31749"/>
    <w:rsid w:val="00A3339D"/>
    <w:rsid w:val="00A369C3"/>
    <w:rsid w:val="00A37869"/>
    <w:rsid w:val="00A41722"/>
    <w:rsid w:val="00A41D44"/>
    <w:rsid w:val="00A42289"/>
    <w:rsid w:val="00A47047"/>
    <w:rsid w:val="00A47671"/>
    <w:rsid w:val="00A51FC8"/>
    <w:rsid w:val="00A52424"/>
    <w:rsid w:val="00A53139"/>
    <w:rsid w:val="00A5322E"/>
    <w:rsid w:val="00A543DC"/>
    <w:rsid w:val="00A54779"/>
    <w:rsid w:val="00A55FB1"/>
    <w:rsid w:val="00A571F4"/>
    <w:rsid w:val="00A57895"/>
    <w:rsid w:val="00A60793"/>
    <w:rsid w:val="00A614A1"/>
    <w:rsid w:val="00A62B99"/>
    <w:rsid w:val="00A638C7"/>
    <w:rsid w:val="00A655BE"/>
    <w:rsid w:val="00A72DA4"/>
    <w:rsid w:val="00A739C1"/>
    <w:rsid w:val="00A76F50"/>
    <w:rsid w:val="00A8349B"/>
    <w:rsid w:val="00A958F9"/>
    <w:rsid w:val="00A96B6A"/>
    <w:rsid w:val="00A97CD2"/>
    <w:rsid w:val="00AA06EA"/>
    <w:rsid w:val="00AA3CF9"/>
    <w:rsid w:val="00AA51C8"/>
    <w:rsid w:val="00AB0209"/>
    <w:rsid w:val="00AB03FF"/>
    <w:rsid w:val="00AB1E00"/>
    <w:rsid w:val="00AB509D"/>
    <w:rsid w:val="00AB6874"/>
    <w:rsid w:val="00AC0BC1"/>
    <w:rsid w:val="00AD202C"/>
    <w:rsid w:val="00AD3802"/>
    <w:rsid w:val="00AD54E4"/>
    <w:rsid w:val="00AE141F"/>
    <w:rsid w:val="00AE5A26"/>
    <w:rsid w:val="00AE75AF"/>
    <w:rsid w:val="00AE7E4D"/>
    <w:rsid w:val="00AF1270"/>
    <w:rsid w:val="00AF776B"/>
    <w:rsid w:val="00B02EB4"/>
    <w:rsid w:val="00B03C67"/>
    <w:rsid w:val="00B04873"/>
    <w:rsid w:val="00B06AA7"/>
    <w:rsid w:val="00B14011"/>
    <w:rsid w:val="00B15184"/>
    <w:rsid w:val="00B15312"/>
    <w:rsid w:val="00B15941"/>
    <w:rsid w:val="00B223C6"/>
    <w:rsid w:val="00B24282"/>
    <w:rsid w:val="00B25864"/>
    <w:rsid w:val="00B269B4"/>
    <w:rsid w:val="00B30383"/>
    <w:rsid w:val="00B32E38"/>
    <w:rsid w:val="00B35A99"/>
    <w:rsid w:val="00B45184"/>
    <w:rsid w:val="00B47790"/>
    <w:rsid w:val="00B5024B"/>
    <w:rsid w:val="00B50F0B"/>
    <w:rsid w:val="00B50F69"/>
    <w:rsid w:val="00B57319"/>
    <w:rsid w:val="00B7132F"/>
    <w:rsid w:val="00B71484"/>
    <w:rsid w:val="00B72E91"/>
    <w:rsid w:val="00B8001F"/>
    <w:rsid w:val="00B80393"/>
    <w:rsid w:val="00B81B4E"/>
    <w:rsid w:val="00B82DBE"/>
    <w:rsid w:val="00B906C4"/>
    <w:rsid w:val="00B941AD"/>
    <w:rsid w:val="00B9513D"/>
    <w:rsid w:val="00B95249"/>
    <w:rsid w:val="00BA0050"/>
    <w:rsid w:val="00BA1C6E"/>
    <w:rsid w:val="00BA24DB"/>
    <w:rsid w:val="00BA5176"/>
    <w:rsid w:val="00BA5CE1"/>
    <w:rsid w:val="00BA7EF2"/>
    <w:rsid w:val="00BB6600"/>
    <w:rsid w:val="00BB6687"/>
    <w:rsid w:val="00BB6B3A"/>
    <w:rsid w:val="00BB7167"/>
    <w:rsid w:val="00BD14FA"/>
    <w:rsid w:val="00BD281C"/>
    <w:rsid w:val="00BD7A9D"/>
    <w:rsid w:val="00BE33EE"/>
    <w:rsid w:val="00BE44B7"/>
    <w:rsid w:val="00BE4974"/>
    <w:rsid w:val="00BE76E7"/>
    <w:rsid w:val="00BF78D8"/>
    <w:rsid w:val="00C022FA"/>
    <w:rsid w:val="00C10A8D"/>
    <w:rsid w:val="00C15084"/>
    <w:rsid w:val="00C154B6"/>
    <w:rsid w:val="00C17316"/>
    <w:rsid w:val="00C176F5"/>
    <w:rsid w:val="00C22E60"/>
    <w:rsid w:val="00C242A5"/>
    <w:rsid w:val="00C24B02"/>
    <w:rsid w:val="00C25A68"/>
    <w:rsid w:val="00C3021B"/>
    <w:rsid w:val="00C3615D"/>
    <w:rsid w:val="00C365D1"/>
    <w:rsid w:val="00C374B3"/>
    <w:rsid w:val="00C37502"/>
    <w:rsid w:val="00C4055C"/>
    <w:rsid w:val="00C44DF5"/>
    <w:rsid w:val="00C461F8"/>
    <w:rsid w:val="00C47E93"/>
    <w:rsid w:val="00C50FFB"/>
    <w:rsid w:val="00C515DB"/>
    <w:rsid w:val="00C64F84"/>
    <w:rsid w:val="00C65A4F"/>
    <w:rsid w:val="00C66B81"/>
    <w:rsid w:val="00C67E9F"/>
    <w:rsid w:val="00C709A6"/>
    <w:rsid w:val="00C71928"/>
    <w:rsid w:val="00C7284C"/>
    <w:rsid w:val="00C748D6"/>
    <w:rsid w:val="00C75210"/>
    <w:rsid w:val="00C849FC"/>
    <w:rsid w:val="00C86FFF"/>
    <w:rsid w:val="00C90074"/>
    <w:rsid w:val="00C93BBA"/>
    <w:rsid w:val="00C9652A"/>
    <w:rsid w:val="00C9721F"/>
    <w:rsid w:val="00CA0432"/>
    <w:rsid w:val="00CA1F21"/>
    <w:rsid w:val="00CA5A01"/>
    <w:rsid w:val="00CB1136"/>
    <w:rsid w:val="00CB51BE"/>
    <w:rsid w:val="00CB66CD"/>
    <w:rsid w:val="00CB793F"/>
    <w:rsid w:val="00CB7E77"/>
    <w:rsid w:val="00CC173C"/>
    <w:rsid w:val="00CC19A5"/>
    <w:rsid w:val="00CC2B17"/>
    <w:rsid w:val="00CC2FC7"/>
    <w:rsid w:val="00CC3428"/>
    <w:rsid w:val="00CC7BE5"/>
    <w:rsid w:val="00CD1F05"/>
    <w:rsid w:val="00CD24A1"/>
    <w:rsid w:val="00CD4577"/>
    <w:rsid w:val="00CD5896"/>
    <w:rsid w:val="00CE02D3"/>
    <w:rsid w:val="00CE0E92"/>
    <w:rsid w:val="00CE740B"/>
    <w:rsid w:val="00CF176E"/>
    <w:rsid w:val="00CF2C49"/>
    <w:rsid w:val="00CF3072"/>
    <w:rsid w:val="00CF399A"/>
    <w:rsid w:val="00CF7C26"/>
    <w:rsid w:val="00D01EC2"/>
    <w:rsid w:val="00D03F46"/>
    <w:rsid w:val="00D04308"/>
    <w:rsid w:val="00D0526D"/>
    <w:rsid w:val="00D11549"/>
    <w:rsid w:val="00D122AD"/>
    <w:rsid w:val="00D12CFD"/>
    <w:rsid w:val="00D130ED"/>
    <w:rsid w:val="00D15A7A"/>
    <w:rsid w:val="00D16312"/>
    <w:rsid w:val="00D16BC8"/>
    <w:rsid w:val="00D20AC3"/>
    <w:rsid w:val="00D21BEC"/>
    <w:rsid w:val="00D22082"/>
    <w:rsid w:val="00D2218A"/>
    <w:rsid w:val="00D223CA"/>
    <w:rsid w:val="00D2565D"/>
    <w:rsid w:val="00D25CAF"/>
    <w:rsid w:val="00D26415"/>
    <w:rsid w:val="00D265A9"/>
    <w:rsid w:val="00D273FC"/>
    <w:rsid w:val="00D30675"/>
    <w:rsid w:val="00D4159F"/>
    <w:rsid w:val="00D41FDB"/>
    <w:rsid w:val="00D427CC"/>
    <w:rsid w:val="00D434DB"/>
    <w:rsid w:val="00D46622"/>
    <w:rsid w:val="00D5086E"/>
    <w:rsid w:val="00D51368"/>
    <w:rsid w:val="00D540EB"/>
    <w:rsid w:val="00D55756"/>
    <w:rsid w:val="00D62E3E"/>
    <w:rsid w:val="00D63495"/>
    <w:rsid w:val="00D65FD3"/>
    <w:rsid w:val="00D72FB9"/>
    <w:rsid w:val="00D735DE"/>
    <w:rsid w:val="00D745E0"/>
    <w:rsid w:val="00D76B77"/>
    <w:rsid w:val="00D815CA"/>
    <w:rsid w:val="00D833D6"/>
    <w:rsid w:val="00D87A00"/>
    <w:rsid w:val="00D9400F"/>
    <w:rsid w:val="00D95763"/>
    <w:rsid w:val="00D96943"/>
    <w:rsid w:val="00D9752E"/>
    <w:rsid w:val="00DA0B36"/>
    <w:rsid w:val="00DA32E8"/>
    <w:rsid w:val="00DA47A4"/>
    <w:rsid w:val="00DA4806"/>
    <w:rsid w:val="00DA7D7C"/>
    <w:rsid w:val="00DB05C1"/>
    <w:rsid w:val="00DB3040"/>
    <w:rsid w:val="00DB4FE7"/>
    <w:rsid w:val="00DB7C60"/>
    <w:rsid w:val="00DC5AC8"/>
    <w:rsid w:val="00DD4772"/>
    <w:rsid w:val="00DD4EBE"/>
    <w:rsid w:val="00DE1E32"/>
    <w:rsid w:val="00DE258E"/>
    <w:rsid w:val="00DE4186"/>
    <w:rsid w:val="00DE43F1"/>
    <w:rsid w:val="00DE5A4D"/>
    <w:rsid w:val="00DF14A2"/>
    <w:rsid w:val="00DF18D6"/>
    <w:rsid w:val="00DF331A"/>
    <w:rsid w:val="00DF54BB"/>
    <w:rsid w:val="00DF5E06"/>
    <w:rsid w:val="00E03930"/>
    <w:rsid w:val="00E06D42"/>
    <w:rsid w:val="00E1225D"/>
    <w:rsid w:val="00E12E7F"/>
    <w:rsid w:val="00E14333"/>
    <w:rsid w:val="00E23292"/>
    <w:rsid w:val="00E27A54"/>
    <w:rsid w:val="00E319FE"/>
    <w:rsid w:val="00E31E1C"/>
    <w:rsid w:val="00E324A3"/>
    <w:rsid w:val="00E3559E"/>
    <w:rsid w:val="00E42DD6"/>
    <w:rsid w:val="00E450BA"/>
    <w:rsid w:val="00E450F9"/>
    <w:rsid w:val="00E46C84"/>
    <w:rsid w:val="00E56D44"/>
    <w:rsid w:val="00E573A4"/>
    <w:rsid w:val="00E57C76"/>
    <w:rsid w:val="00E6033B"/>
    <w:rsid w:val="00E60373"/>
    <w:rsid w:val="00E607A8"/>
    <w:rsid w:val="00E62EB0"/>
    <w:rsid w:val="00E70AD6"/>
    <w:rsid w:val="00E72BB5"/>
    <w:rsid w:val="00E74B33"/>
    <w:rsid w:val="00E8069B"/>
    <w:rsid w:val="00E81518"/>
    <w:rsid w:val="00E82B25"/>
    <w:rsid w:val="00E82C6E"/>
    <w:rsid w:val="00E84FA1"/>
    <w:rsid w:val="00E96B7E"/>
    <w:rsid w:val="00EA065B"/>
    <w:rsid w:val="00EA49C8"/>
    <w:rsid w:val="00EB05CB"/>
    <w:rsid w:val="00EB1D75"/>
    <w:rsid w:val="00EB4931"/>
    <w:rsid w:val="00EC0ED0"/>
    <w:rsid w:val="00EC240D"/>
    <w:rsid w:val="00EC78AB"/>
    <w:rsid w:val="00EC7A41"/>
    <w:rsid w:val="00ED1AD2"/>
    <w:rsid w:val="00ED274D"/>
    <w:rsid w:val="00ED50A0"/>
    <w:rsid w:val="00ED53FE"/>
    <w:rsid w:val="00ED6671"/>
    <w:rsid w:val="00ED7354"/>
    <w:rsid w:val="00EE5866"/>
    <w:rsid w:val="00EE7A9F"/>
    <w:rsid w:val="00EF06B4"/>
    <w:rsid w:val="00EF0ED2"/>
    <w:rsid w:val="00EF158B"/>
    <w:rsid w:val="00EF3400"/>
    <w:rsid w:val="00EF7CA9"/>
    <w:rsid w:val="00F05AE5"/>
    <w:rsid w:val="00F05D8F"/>
    <w:rsid w:val="00F06ACB"/>
    <w:rsid w:val="00F072ED"/>
    <w:rsid w:val="00F07AAA"/>
    <w:rsid w:val="00F15F47"/>
    <w:rsid w:val="00F2015F"/>
    <w:rsid w:val="00F21D6F"/>
    <w:rsid w:val="00F2613F"/>
    <w:rsid w:val="00F31A9E"/>
    <w:rsid w:val="00F33D33"/>
    <w:rsid w:val="00F357FB"/>
    <w:rsid w:val="00F35A7A"/>
    <w:rsid w:val="00F36C20"/>
    <w:rsid w:val="00F47CA6"/>
    <w:rsid w:val="00F54E91"/>
    <w:rsid w:val="00F557F6"/>
    <w:rsid w:val="00F55A9F"/>
    <w:rsid w:val="00F57E7A"/>
    <w:rsid w:val="00F64FD8"/>
    <w:rsid w:val="00F67ADB"/>
    <w:rsid w:val="00F73B16"/>
    <w:rsid w:val="00F812FF"/>
    <w:rsid w:val="00F86597"/>
    <w:rsid w:val="00F91452"/>
    <w:rsid w:val="00F926C7"/>
    <w:rsid w:val="00F92F94"/>
    <w:rsid w:val="00F9334F"/>
    <w:rsid w:val="00F93633"/>
    <w:rsid w:val="00F95EC2"/>
    <w:rsid w:val="00F95EF9"/>
    <w:rsid w:val="00F968C9"/>
    <w:rsid w:val="00FA1147"/>
    <w:rsid w:val="00FA16B9"/>
    <w:rsid w:val="00FA2CE7"/>
    <w:rsid w:val="00FA79CA"/>
    <w:rsid w:val="00FB00C5"/>
    <w:rsid w:val="00FB0EB0"/>
    <w:rsid w:val="00FB45A0"/>
    <w:rsid w:val="00FC2A5D"/>
    <w:rsid w:val="00FC2A8C"/>
    <w:rsid w:val="00FC5FB9"/>
    <w:rsid w:val="00FC6D26"/>
    <w:rsid w:val="00FD1D74"/>
    <w:rsid w:val="00FD3194"/>
    <w:rsid w:val="00FE358F"/>
    <w:rsid w:val="00FE415D"/>
    <w:rsid w:val="00FE61D3"/>
    <w:rsid w:val="00FE6446"/>
    <w:rsid w:val="00FE7322"/>
    <w:rsid w:val="00FF084B"/>
    <w:rsid w:val="00FF1776"/>
    <w:rsid w:val="00FF574B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9D3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06EA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240D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165B89" w:themeColor="accen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240D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165B89" w:themeColor="accen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C240D"/>
    <w:pPr>
      <w:keepNext/>
      <w:keepLines/>
      <w:spacing w:before="240"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E1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E1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E3E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3E1F"/>
  </w:style>
  <w:style w:type="paragraph" w:styleId="Fuzeile">
    <w:name w:val="footer"/>
    <w:basedOn w:val="Standard"/>
    <w:link w:val="FuzeileZchn"/>
    <w:uiPriority w:val="99"/>
    <w:unhideWhenUsed/>
    <w:rsid w:val="006E3E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3E1F"/>
  </w:style>
  <w:style w:type="paragraph" w:styleId="Funotentext">
    <w:name w:val="footnote text"/>
    <w:basedOn w:val="Standard"/>
    <w:link w:val="FunotentextZchn"/>
    <w:uiPriority w:val="99"/>
    <w:unhideWhenUsed/>
    <w:rsid w:val="0019449A"/>
  </w:style>
  <w:style w:type="character" w:customStyle="1" w:styleId="FunotentextZchn">
    <w:name w:val="Fußnotentext Zchn"/>
    <w:basedOn w:val="Absatz-Standardschriftart"/>
    <w:link w:val="Funotentext"/>
    <w:uiPriority w:val="99"/>
    <w:rsid w:val="0019449A"/>
  </w:style>
  <w:style w:type="character" w:styleId="Funotenzeichen">
    <w:name w:val="footnote reference"/>
    <w:basedOn w:val="Absatz-Standardschriftart"/>
    <w:uiPriority w:val="99"/>
    <w:unhideWhenUsed/>
    <w:rsid w:val="0019449A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87A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D87A00"/>
    <w:rPr>
      <w:b/>
      <w:bCs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D87A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540EB"/>
    <w:rPr>
      <w:color w:val="3768D3" w:themeColor="hyperlink"/>
      <w:u w:val="single"/>
    </w:rPr>
  </w:style>
  <w:style w:type="paragraph" w:customStyle="1" w:styleId="Default">
    <w:name w:val="Default"/>
    <w:rsid w:val="0062311D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styleId="Seitenzahl">
    <w:name w:val="page number"/>
    <w:basedOn w:val="Absatz-Standardschriftart"/>
    <w:semiHidden/>
    <w:unhideWhenUsed/>
    <w:rsid w:val="008779E9"/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8839AA"/>
  </w:style>
  <w:style w:type="paragraph" w:customStyle="1" w:styleId="Anlage">
    <w:name w:val="Anlage"/>
    <w:basedOn w:val="Standard"/>
    <w:rsid w:val="008839AA"/>
    <w:pPr>
      <w:tabs>
        <w:tab w:val="left" w:pos="794"/>
      </w:tabs>
      <w:spacing w:before="240"/>
      <w:ind w:left="794" w:hanging="794"/>
    </w:pPr>
    <w:rPr>
      <w:rFonts w:eastAsia="Times New Roman" w:cs="Times New Roman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3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3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39AA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06EA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240D"/>
    <w:rPr>
      <w:rFonts w:ascii="Arial" w:eastAsiaTheme="majorEastAsia" w:hAnsi="Arial" w:cstheme="majorBidi"/>
      <w:b/>
      <w:bCs/>
      <w:color w:val="165B89" w:themeColor="accen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240D"/>
    <w:rPr>
      <w:rFonts w:ascii="Arial" w:eastAsiaTheme="majorEastAsia" w:hAnsi="Arial" w:cstheme="majorBidi"/>
      <w:b/>
      <w:bCs/>
      <w:color w:val="165B89" w:themeColor="accent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C240D"/>
    <w:rPr>
      <w:rFonts w:ascii="Arial" w:eastAsiaTheme="majorEastAsia" w:hAnsi="Arial" w:cstheme="majorBidi"/>
      <w:b/>
      <w:bCs/>
      <w:iCs/>
      <w:color w:val="000000" w:themeColor="text1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39D3"/>
    <w:pPr>
      <w:pBdr>
        <w:top w:val="single" w:sz="4" w:space="10" w:color="165B89" w:themeColor="accent2"/>
        <w:bottom w:val="single" w:sz="4" w:space="10" w:color="165B89" w:themeColor="accent2"/>
      </w:pBdr>
      <w:spacing w:before="360" w:after="360"/>
      <w:ind w:left="851" w:right="851"/>
      <w:jc w:val="center"/>
    </w:pPr>
    <w:rPr>
      <w:rFonts w:eastAsia="MS Mincho" w:cs="Arial"/>
      <w:i/>
      <w:iCs/>
      <w:color w:val="165B89" w:themeColor="accen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39D3"/>
    <w:rPr>
      <w:rFonts w:ascii="Arial" w:eastAsia="MS Mincho" w:hAnsi="Arial" w:cs="Arial"/>
      <w:i/>
      <w:iCs/>
      <w:color w:val="165B89" w:themeColor="accent2"/>
    </w:rPr>
  </w:style>
  <w:style w:type="paragraph" w:customStyle="1" w:styleId="Wissenswertes">
    <w:name w:val="Wissenswertes"/>
    <w:basedOn w:val="Standard"/>
    <w:qFormat/>
    <w:rsid w:val="00EC240D"/>
    <w:pPr>
      <w:widowControl w:val="0"/>
      <w:pBdr>
        <w:top w:val="single" w:sz="2" w:space="10" w:color="132856" w:themeColor="text2"/>
        <w:left w:val="single" w:sz="2" w:space="8" w:color="132856" w:themeColor="text2"/>
        <w:bottom w:val="single" w:sz="2" w:space="10" w:color="132856" w:themeColor="text2"/>
        <w:right w:val="single" w:sz="2" w:space="8" w:color="132856" w:themeColor="text2"/>
      </w:pBdr>
      <w:shd w:val="clear" w:color="auto" w:fill="132856" w:themeFill="accent1"/>
      <w:spacing w:before="240" w:after="240"/>
      <w:ind w:left="170"/>
    </w:pPr>
    <w:rPr>
      <w:rFonts w:ascii="Arial Fett" w:eastAsia="Times New Roman" w:hAnsi="Arial Fett" w:cs="Arial"/>
      <w:b/>
      <w:color w:val="FFFFFF" w:themeColor="background1"/>
      <w:szCs w:val="20"/>
      <w:lang w:eastAsia="zh-TW"/>
    </w:rPr>
  </w:style>
  <w:style w:type="paragraph" w:styleId="Titel">
    <w:name w:val="Title"/>
    <w:basedOn w:val="Standard"/>
    <w:next w:val="Standard"/>
    <w:link w:val="TitelZchn"/>
    <w:uiPriority w:val="10"/>
    <w:qFormat/>
    <w:rsid w:val="00EC240D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 w:val="48"/>
      <w:szCs w:val="52"/>
      <w:lang w:eastAsia="zh-TW"/>
    </w:rPr>
  </w:style>
  <w:style w:type="character" w:customStyle="1" w:styleId="TitelZchn">
    <w:name w:val="Titel Zchn"/>
    <w:basedOn w:val="Absatz-Standardschriftart"/>
    <w:link w:val="Titel"/>
    <w:uiPriority w:val="10"/>
    <w:rsid w:val="00EC240D"/>
    <w:rPr>
      <w:rFonts w:ascii="Arial" w:eastAsiaTheme="majorEastAsia" w:hAnsi="Arial" w:cstheme="majorBidi"/>
      <w:color w:val="000000" w:themeColor="text1"/>
      <w:spacing w:val="5"/>
      <w:kern w:val="28"/>
      <w:sz w:val="48"/>
      <w:szCs w:val="52"/>
      <w:lang w:eastAsia="zh-TW"/>
    </w:rPr>
  </w:style>
  <w:style w:type="paragraph" w:customStyle="1" w:styleId="3Einrckung">
    <w:name w:val="3. Einrückung"/>
    <w:basedOn w:val="Standard"/>
    <w:uiPriority w:val="2"/>
    <w:qFormat/>
    <w:rsid w:val="00D62E3E"/>
    <w:pPr>
      <w:tabs>
        <w:tab w:val="left" w:pos="567"/>
        <w:tab w:val="left" w:pos="1134"/>
        <w:tab w:val="left" w:pos="1701"/>
      </w:tabs>
      <w:spacing w:after="200" w:line="276" w:lineRule="auto"/>
      <w:ind w:left="1701" w:hanging="567"/>
    </w:pPr>
    <w:rPr>
      <w:rFonts w:asciiTheme="minorHAnsi" w:eastAsiaTheme="minorHAnsi" w:hAnsiTheme="minorHAnsi"/>
      <w:szCs w:val="22"/>
      <w:lang w:eastAsia="en-US"/>
    </w:rPr>
  </w:style>
  <w:style w:type="table" w:styleId="Tabellenraster">
    <w:name w:val="Table Grid"/>
    <w:basedOn w:val="NormaleTabelle"/>
    <w:uiPriority w:val="59"/>
    <w:rsid w:val="0062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446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E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34DB"/>
    <w:rPr>
      <w:color w:val="7030A0" w:themeColor="followedHyperlink"/>
      <w:u w:val="single"/>
    </w:rPr>
  </w:style>
  <w:style w:type="paragraph" w:styleId="berarbeitung">
    <w:name w:val="Revision"/>
    <w:hidden/>
    <w:uiPriority w:val="99"/>
    <w:semiHidden/>
    <w:rsid w:val="005944B4"/>
    <w:rPr>
      <w:rFonts w:ascii="Arial" w:hAnsi="Arial"/>
      <w:sz w:val="22"/>
    </w:rPr>
  </w:style>
  <w:style w:type="character" w:styleId="Hervorhebung">
    <w:name w:val="Emphasis"/>
    <w:basedOn w:val="Absatz-Standardschriftart"/>
    <w:uiPriority w:val="20"/>
    <w:qFormat/>
    <w:rsid w:val="006D1E06"/>
    <w:rPr>
      <w:i/>
      <w:iCs/>
    </w:rPr>
  </w:style>
  <w:style w:type="character" w:customStyle="1" w:styleId="zit">
    <w:name w:val="zit"/>
    <w:basedOn w:val="Absatz-Standardschriftart"/>
    <w:rsid w:val="006D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hstofftransparenz.de/interaktive-rohstoffkar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intershalldea.com%2Fde%2Fworan-wir-glauben%2Fnachhaltigkeit%2F2022-nachhaltigkeitsbericht&amp;data=05%7C01%7Cmareike.goehler-robus%40giz.de%7Cea87ee143c314401570e08dbaec51341%7C5bbab28cdef3460488225e707da8dba8%7C0%7C0%7C638295933676991770%7CUnknown%7CTWFpbGZsb3d8eyJWIjoiMC4wLjAwMDAiLCJQIjoiV2luMzIiLCJBTiI6Ik1haWwiLCJXVCI6Mn0%3D%7C3000%7C%7C%7C&amp;sdata=bfG0nDVbsRqAStie2XlqvnXYqIeQdkD%2Bf%2BTiT8YNqwI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intershalldea.com%2Fde%2Fnewsroom%2Flohngleichheit-wintershall-dea-als-equal-salary-arbeitgeber-global-zertifiziert&amp;data=05%7C01%7Cmareike.goehler-robus%40giz.de%7Cea87ee143c314401570e08dbaec51341%7C5bbab28cdef3460488225e707da8dba8%7C0%7C0%7C638295933676835552%7CUnknown%7CTWFpbGZsb3d8eyJWIjoiMC4wLjAwMDAiLCJQIjoiV2luMzIiLCJBTiI6Ik1haWwiLCJXVCI6Mn0%3D%7C3000%7C%7C%7C&amp;sdata=oK%2BI9zglbuU%2B0Dmpo%2B6J1DU%2FdacqhiJOu%2FwnbEnLPWk%3D&amp;reserved=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Neue EITI Farbpalette">
      <a:dk1>
        <a:sysClr val="windowText" lastClr="000000"/>
      </a:dk1>
      <a:lt1>
        <a:sysClr val="window" lastClr="FFFFFF"/>
      </a:lt1>
      <a:dk2>
        <a:srgbClr val="132856"/>
      </a:dk2>
      <a:lt2>
        <a:srgbClr val="D8D8D8"/>
      </a:lt2>
      <a:accent1>
        <a:srgbClr val="132856"/>
      </a:accent1>
      <a:accent2>
        <a:srgbClr val="165B89"/>
      </a:accent2>
      <a:accent3>
        <a:srgbClr val="1BC2EE"/>
      </a:accent3>
      <a:accent4>
        <a:srgbClr val="89AA2E"/>
      </a:accent4>
      <a:accent5>
        <a:srgbClr val="2B8636"/>
      </a:accent5>
      <a:accent6>
        <a:srgbClr val="F6A70A"/>
      </a:accent6>
      <a:hlink>
        <a:srgbClr val="3768D3"/>
      </a:hlink>
      <a:folHlink>
        <a:srgbClr val="7030A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7BB49-C989-4407-AA07-6AC4C78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1641</Words>
  <Characters>10339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2023-09-18T22:53:00Z</dcterms:created>
  <dcterms:modified xsi:type="dcterms:W3CDTF">2023-09-18T22:53:00Z</dcterms:modified>
</cp:coreProperties>
</file>