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A7B2" w14:textId="70CEE37A" w:rsidR="00B20C63" w:rsidRPr="00B20C63" w:rsidRDefault="00B20C63" w:rsidP="00B20C63">
      <w:pPr>
        <w:spacing w:before="120"/>
        <w:rPr>
          <w:rFonts w:ascii="Arial" w:hAnsi="Arial" w:cs="Arial"/>
          <w:b/>
          <w:bCs/>
          <w:color w:val="1F4E79" w:themeColor="accent5" w:themeShade="80"/>
          <w:sz w:val="32"/>
          <w:szCs w:val="32"/>
        </w:rPr>
      </w:pPr>
      <w:r>
        <w:rPr>
          <w:rFonts w:ascii="Arial" w:hAnsi="Arial" w:cs="Arial"/>
          <w:b/>
          <w:bCs/>
          <w:color w:val="1F4E79" w:themeColor="accent5" w:themeShade="80"/>
          <w:sz w:val="32"/>
          <w:szCs w:val="32"/>
        </w:rPr>
        <w:t>EITI Validierung Deutschland 2023</w:t>
      </w:r>
    </w:p>
    <w:p w14:paraId="7325FCCD" w14:textId="21F5181F" w:rsidR="00DC5361" w:rsidRPr="00777101" w:rsidRDefault="00B20C63">
      <w:pPr>
        <w:rPr>
          <w:rFonts w:ascii="Arial" w:hAnsi="Arial" w:cs="Arial"/>
          <w:color w:val="2E74B5" w:themeColor="accent5" w:themeShade="BF"/>
          <w:u w:val="single"/>
        </w:rPr>
      </w:pPr>
      <w:r w:rsidRPr="00777101">
        <w:rPr>
          <w:rFonts w:ascii="Arial" w:hAnsi="Arial" w:cs="Arial"/>
          <w:color w:val="2E74B5" w:themeColor="accent5" w:themeShade="BF"/>
          <w:u w:val="single"/>
        </w:rPr>
        <w:t xml:space="preserve">Abgestimmte Position für die Stakeholdergruppe der Regierung </w:t>
      </w:r>
      <w:r w:rsidR="00DC5361" w:rsidRPr="00777101">
        <w:rPr>
          <w:rFonts w:ascii="Arial" w:hAnsi="Arial" w:cs="Arial"/>
          <w:color w:val="2E74B5" w:themeColor="accent5" w:themeShade="BF"/>
          <w:u w:val="single"/>
        </w:rPr>
        <w:t>zur EITI Standard-Anforderung Ziff. 2.5 (</w:t>
      </w:r>
      <w:proofErr w:type="spellStart"/>
      <w:r w:rsidR="00700863">
        <w:rPr>
          <w:rFonts w:ascii="Arial" w:hAnsi="Arial" w:cs="Arial"/>
          <w:color w:val="2E74B5" w:themeColor="accent5" w:themeShade="BF"/>
          <w:u w:val="single"/>
        </w:rPr>
        <w:t>B</w:t>
      </w:r>
      <w:r w:rsidR="00DC5361" w:rsidRPr="00777101">
        <w:rPr>
          <w:rFonts w:ascii="Arial" w:hAnsi="Arial" w:cs="Arial"/>
          <w:color w:val="2E74B5" w:themeColor="accent5" w:themeShade="BF"/>
          <w:u w:val="single"/>
        </w:rPr>
        <w:t>eneficial</w:t>
      </w:r>
      <w:proofErr w:type="spellEnd"/>
      <w:r w:rsidR="00DC5361" w:rsidRPr="00777101">
        <w:rPr>
          <w:rFonts w:ascii="Arial" w:hAnsi="Arial" w:cs="Arial"/>
          <w:color w:val="2E74B5" w:themeColor="accent5" w:themeShade="BF"/>
          <w:u w:val="single"/>
        </w:rPr>
        <w:t xml:space="preserve"> </w:t>
      </w:r>
      <w:proofErr w:type="spellStart"/>
      <w:r w:rsidR="00DC5361" w:rsidRPr="00777101">
        <w:rPr>
          <w:rFonts w:ascii="Arial" w:hAnsi="Arial" w:cs="Arial"/>
          <w:color w:val="2E74B5" w:themeColor="accent5" w:themeShade="BF"/>
          <w:u w:val="single"/>
        </w:rPr>
        <w:t>ownership</w:t>
      </w:r>
      <w:proofErr w:type="spellEnd"/>
      <w:r w:rsidR="00DC5361" w:rsidRPr="00777101">
        <w:rPr>
          <w:rFonts w:ascii="Arial" w:hAnsi="Arial" w:cs="Arial"/>
          <w:color w:val="2E74B5" w:themeColor="accent5" w:themeShade="BF"/>
          <w:u w:val="single"/>
        </w:rPr>
        <w:t>)</w:t>
      </w:r>
    </w:p>
    <w:p w14:paraId="7CBA6CC7" w14:textId="77777777" w:rsidR="00722773" w:rsidRPr="002224FB" w:rsidRDefault="00722773">
      <w:pPr>
        <w:rPr>
          <w:rFonts w:ascii="Arial" w:hAnsi="Arial" w:cs="Arial"/>
          <w:b/>
          <w:sz w:val="10"/>
          <w:szCs w:val="10"/>
          <w:u w:val="single"/>
        </w:rPr>
      </w:pPr>
    </w:p>
    <w:p w14:paraId="136042BB" w14:textId="1D23AD42" w:rsidR="00DC5361" w:rsidRPr="00DC5361" w:rsidRDefault="00DC5361">
      <w:pPr>
        <w:rPr>
          <w:rFonts w:ascii="Arial" w:hAnsi="Arial" w:cs="Arial"/>
          <w:b/>
          <w:u w:val="single"/>
        </w:rPr>
      </w:pPr>
      <w:r w:rsidRPr="00DC5361">
        <w:rPr>
          <w:rFonts w:ascii="Arial" w:hAnsi="Arial" w:cs="Arial"/>
          <w:b/>
          <w:u w:val="single"/>
        </w:rPr>
        <w:t xml:space="preserve">I. Sachverhalt </w:t>
      </w:r>
    </w:p>
    <w:p w14:paraId="6EECB5F4" w14:textId="77777777" w:rsidR="00DC5361" w:rsidRPr="00DC5361" w:rsidRDefault="00DC5361">
      <w:pPr>
        <w:rPr>
          <w:rFonts w:ascii="Arial" w:hAnsi="Arial" w:cs="Arial"/>
        </w:rPr>
      </w:pPr>
      <w:r w:rsidRPr="00DC5361">
        <w:rPr>
          <w:rFonts w:ascii="Arial" w:hAnsi="Arial" w:cs="Arial"/>
        </w:rPr>
        <w:t xml:space="preserve">Ziff. 2.5 </w:t>
      </w:r>
      <w:r w:rsidR="00BF3141">
        <w:rPr>
          <w:rFonts w:ascii="Arial" w:hAnsi="Arial" w:cs="Arial"/>
        </w:rPr>
        <w:t xml:space="preserve">Buchst. a) bis d) </w:t>
      </w:r>
      <w:r w:rsidRPr="00DC5361">
        <w:rPr>
          <w:rFonts w:ascii="Arial" w:hAnsi="Arial" w:cs="Arial"/>
        </w:rPr>
        <w:t>des EITI Standards 2019</w:t>
      </w:r>
      <w:r>
        <w:rPr>
          <w:rStyle w:val="Funotenzeichen"/>
          <w:rFonts w:ascii="Arial" w:hAnsi="Arial" w:cs="Arial"/>
        </w:rPr>
        <w:footnoteReference w:id="1"/>
      </w:r>
      <w:r w:rsidRPr="00DC5361">
        <w:rPr>
          <w:rFonts w:ascii="Arial" w:hAnsi="Arial" w:cs="Arial"/>
        </w:rPr>
        <w:t xml:space="preserve"> lautet</w:t>
      </w:r>
      <w:r w:rsidR="00640A5B">
        <w:rPr>
          <w:rFonts w:ascii="Arial" w:hAnsi="Arial" w:cs="Arial"/>
        </w:rPr>
        <w:t xml:space="preserve"> (Auszug)</w:t>
      </w:r>
      <w:r w:rsidRPr="00DC5361">
        <w:rPr>
          <w:rFonts w:ascii="Arial" w:hAnsi="Arial" w:cs="Arial"/>
        </w:rPr>
        <w:t>:</w:t>
      </w:r>
    </w:p>
    <w:p w14:paraId="0A0D506C" w14:textId="77777777" w:rsidR="00DC5361" w:rsidRPr="00BF3141" w:rsidRDefault="00DC5361">
      <w:pPr>
        <w:rPr>
          <w:szCs w:val="20"/>
          <w:lang w:val="en-GB"/>
        </w:rPr>
      </w:pPr>
      <w:r w:rsidRPr="00640A5B">
        <w:rPr>
          <w:szCs w:val="20"/>
          <w:lang w:val="en-GB"/>
        </w:rPr>
        <w:t>a)</w:t>
      </w:r>
      <w:r w:rsidRPr="00640A5B">
        <w:rPr>
          <w:b/>
          <w:szCs w:val="20"/>
          <w:lang w:val="en-GB"/>
        </w:rPr>
        <w:t xml:space="preserve"> It is recommended that implementing countries maintain a publicly available register of the beneficial owners</w:t>
      </w:r>
      <w:r w:rsidRPr="00BF3141">
        <w:rPr>
          <w:szCs w:val="20"/>
          <w:lang w:val="en-GB"/>
        </w:rPr>
        <w:t xml:space="preserve"> of the corporate entity(</w:t>
      </w:r>
      <w:proofErr w:type="spellStart"/>
      <w:r w:rsidRPr="00BF3141">
        <w:rPr>
          <w:szCs w:val="20"/>
          <w:lang w:val="en-GB"/>
        </w:rPr>
        <w:t>ies</w:t>
      </w:r>
      <w:proofErr w:type="spellEnd"/>
      <w:r w:rsidRPr="00BF3141">
        <w:rPr>
          <w:szCs w:val="20"/>
          <w:lang w:val="en-GB"/>
        </w:rPr>
        <w:t>) that apply for or hold a participating interest in an exploration or production oil, gas or mining license or contract, including the identity(</w:t>
      </w:r>
      <w:proofErr w:type="spellStart"/>
      <w:r w:rsidRPr="00BF3141">
        <w:rPr>
          <w:szCs w:val="20"/>
          <w:lang w:val="en-GB"/>
        </w:rPr>
        <w:t>ies</w:t>
      </w:r>
      <w:proofErr w:type="spellEnd"/>
      <w:r w:rsidRPr="00BF3141">
        <w:rPr>
          <w:szCs w:val="20"/>
          <w:lang w:val="en-GB"/>
        </w:rPr>
        <w:t>) of their beneficial owner(s), the level of ownership and details about how ownership or control is exerted</w:t>
      </w:r>
      <w:r w:rsidR="00640A5B">
        <w:rPr>
          <w:szCs w:val="20"/>
          <w:lang w:val="en-GB"/>
        </w:rPr>
        <w:t>. (..)</w:t>
      </w:r>
    </w:p>
    <w:p w14:paraId="3BD2FF99" w14:textId="77777777" w:rsidR="00DC5361" w:rsidRPr="00BF3141" w:rsidRDefault="00DC5361" w:rsidP="00DC5361">
      <w:pPr>
        <w:rPr>
          <w:szCs w:val="20"/>
          <w:lang w:val="en-GB"/>
        </w:rPr>
      </w:pPr>
      <w:r w:rsidRPr="00BF3141">
        <w:rPr>
          <w:szCs w:val="20"/>
          <w:lang w:val="en-GB"/>
        </w:rPr>
        <w:t xml:space="preserve">b) </w:t>
      </w:r>
      <w:r w:rsidRPr="00640A5B">
        <w:rPr>
          <w:b/>
          <w:szCs w:val="20"/>
          <w:lang w:val="en-GB"/>
        </w:rPr>
        <w:t>Implementing countries are required to document the government’s policy and multi-stakeholder group’s discussion on disclosure of beneficial ownership.</w:t>
      </w:r>
      <w:r w:rsidRPr="00BF3141">
        <w:rPr>
          <w:szCs w:val="20"/>
          <w:lang w:val="en-GB"/>
        </w:rPr>
        <w:t xml:space="preserve"> This should include details of the relevant legal provisions, actual disclosure practices and any reforms that are planned or underway related to beneficial ownership disclosure.</w:t>
      </w:r>
    </w:p>
    <w:p w14:paraId="28A46B8C" w14:textId="77777777" w:rsidR="00DC5361" w:rsidRPr="00BF3141" w:rsidRDefault="00DC5361" w:rsidP="00DC5361">
      <w:pPr>
        <w:rPr>
          <w:szCs w:val="20"/>
          <w:lang w:val="en-GB"/>
        </w:rPr>
      </w:pPr>
      <w:r w:rsidRPr="00BF3141">
        <w:rPr>
          <w:szCs w:val="20"/>
          <w:lang w:val="en-GB"/>
        </w:rPr>
        <w:t xml:space="preserve">c)  </w:t>
      </w:r>
      <w:r w:rsidRPr="00640A5B">
        <w:rPr>
          <w:b/>
          <w:szCs w:val="20"/>
          <w:lang w:val="en-GB"/>
        </w:rPr>
        <w:t>As of 1 January 2020, it is required that implementing countries request, and companies publicly disclose, beneficial ownership information.</w:t>
      </w:r>
      <w:r w:rsidRPr="00BF3141">
        <w:rPr>
          <w:szCs w:val="20"/>
          <w:lang w:val="en-GB"/>
        </w:rPr>
        <w:t xml:space="preserve"> This applies to corporate entity(</w:t>
      </w:r>
      <w:proofErr w:type="spellStart"/>
      <w:r w:rsidRPr="00BF3141">
        <w:rPr>
          <w:szCs w:val="20"/>
          <w:lang w:val="en-GB"/>
        </w:rPr>
        <w:t>ies</w:t>
      </w:r>
      <w:proofErr w:type="spellEnd"/>
      <w:r w:rsidRPr="00BF3141">
        <w:rPr>
          <w:szCs w:val="20"/>
          <w:lang w:val="en-GB"/>
        </w:rPr>
        <w:t>) that apply for or hold a participating interest in an exploration or production oil, gas or mining license or contract and should include the identity(</w:t>
      </w:r>
      <w:proofErr w:type="spellStart"/>
      <w:r w:rsidRPr="00BF3141">
        <w:rPr>
          <w:szCs w:val="20"/>
          <w:lang w:val="en-GB"/>
        </w:rPr>
        <w:t>ies</w:t>
      </w:r>
      <w:proofErr w:type="spellEnd"/>
      <w:r w:rsidRPr="00BF3141">
        <w:rPr>
          <w:szCs w:val="20"/>
          <w:lang w:val="en-GB"/>
        </w:rPr>
        <w:t>) of their beneficial owner(s), the level of ownership and details about how ownership or control is exerted.</w:t>
      </w:r>
      <w:r w:rsidR="00640A5B">
        <w:rPr>
          <w:szCs w:val="20"/>
          <w:lang w:val="en-GB"/>
        </w:rPr>
        <w:t xml:space="preserve"> </w:t>
      </w:r>
      <w:r w:rsidR="00640A5B" w:rsidRPr="00640A5B">
        <w:rPr>
          <w:b/>
          <w:szCs w:val="20"/>
          <w:lang w:val="en-GB"/>
        </w:rPr>
        <w:t>Any significant gaps or weaknesses in reporting on beneficial ownership information must be disclosed, including naming any entities that failed to submit</w:t>
      </w:r>
      <w:r w:rsidR="00640A5B" w:rsidRPr="00640A5B">
        <w:rPr>
          <w:szCs w:val="20"/>
          <w:lang w:val="en-GB"/>
        </w:rPr>
        <w:t xml:space="preserve"> all or parts of the beneficial ownership information.</w:t>
      </w:r>
      <w:r w:rsidRPr="00BF3141">
        <w:rPr>
          <w:szCs w:val="20"/>
          <w:lang w:val="en-GB"/>
        </w:rPr>
        <w:t xml:space="preserve"> </w:t>
      </w:r>
      <w:r w:rsidR="00640A5B">
        <w:rPr>
          <w:szCs w:val="20"/>
          <w:lang w:val="en-GB"/>
        </w:rPr>
        <w:t>(…)</w:t>
      </w:r>
    </w:p>
    <w:p w14:paraId="46BEA0F7" w14:textId="77777777" w:rsidR="00DC5361" w:rsidRDefault="00DC5361" w:rsidP="00DC5361">
      <w:pPr>
        <w:rPr>
          <w:szCs w:val="20"/>
          <w:lang w:val="en-GB"/>
        </w:rPr>
      </w:pPr>
      <w:r w:rsidRPr="00BF3141">
        <w:rPr>
          <w:szCs w:val="20"/>
          <w:lang w:val="en-GB"/>
        </w:rPr>
        <w:t xml:space="preserve">d) </w:t>
      </w:r>
      <w:r w:rsidRPr="00640A5B">
        <w:rPr>
          <w:b/>
          <w:szCs w:val="20"/>
          <w:lang w:val="en-GB"/>
        </w:rPr>
        <w:t>Information about the identity of the beneficial owner should include</w:t>
      </w:r>
      <w:r w:rsidRPr="00BF3141">
        <w:rPr>
          <w:szCs w:val="20"/>
          <w:lang w:val="en-GB"/>
        </w:rPr>
        <w:t xml:space="preserve"> the name of the beneficial owner, the nationality, and the country of residence, as well as identifying any politically exposed persons. It is also recommended that the national identity number, date of birth, residential or service address, and means of contact are disclosed.</w:t>
      </w:r>
    </w:p>
    <w:p w14:paraId="4E823052" w14:textId="77777777" w:rsidR="004D1B83" w:rsidRPr="00FF5FD8" w:rsidRDefault="004D1B83" w:rsidP="00DC5361">
      <w:pPr>
        <w:rPr>
          <w:rFonts w:ascii="Arial" w:hAnsi="Arial" w:cs="Arial"/>
          <w:szCs w:val="20"/>
          <w:lang w:val="en-GB"/>
        </w:rPr>
      </w:pPr>
    </w:p>
    <w:p w14:paraId="0D0462C1" w14:textId="1C4EFE11" w:rsidR="00BF3141" w:rsidRDefault="00FF5FD8" w:rsidP="00DC5361">
      <w:pPr>
        <w:rPr>
          <w:rFonts w:ascii="Arial" w:hAnsi="Arial" w:cs="Arial"/>
          <w:szCs w:val="20"/>
        </w:rPr>
      </w:pPr>
      <w:r>
        <w:rPr>
          <w:rFonts w:ascii="Arial" w:hAnsi="Arial" w:cs="Arial"/>
          <w:szCs w:val="20"/>
        </w:rPr>
        <w:t>D</w:t>
      </w:r>
      <w:r w:rsidR="00A84F13">
        <w:rPr>
          <w:rFonts w:ascii="Arial" w:hAnsi="Arial" w:cs="Arial"/>
          <w:szCs w:val="20"/>
        </w:rPr>
        <w:t xml:space="preserve">ie Anforderungen </w:t>
      </w:r>
      <w:r w:rsidR="009C1986">
        <w:rPr>
          <w:rFonts w:ascii="Arial" w:hAnsi="Arial" w:cs="Arial"/>
          <w:szCs w:val="20"/>
        </w:rPr>
        <w:t xml:space="preserve">in Ziffer 2.5 des EITI-Standards </w:t>
      </w:r>
      <w:r>
        <w:rPr>
          <w:rFonts w:ascii="Arial" w:hAnsi="Arial" w:cs="Arial"/>
          <w:szCs w:val="20"/>
        </w:rPr>
        <w:t xml:space="preserve">traten </w:t>
      </w:r>
      <w:r w:rsidR="00A84F13">
        <w:rPr>
          <w:rFonts w:ascii="Arial" w:hAnsi="Arial" w:cs="Arial"/>
          <w:szCs w:val="20"/>
        </w:rPr>
        <w:t xml:space="preserve">erst </w:t>
      </w:r>
      <w:r w:rsidR="00A84F13" w:rsidRPr="00FF5FD8">
        <w:rPr>
          <w:rFonts w:ascii="Arial" w:hAnsi="Arial" w:cs="Arial"/>
          <w:szCs w:val="20"/>
        </w:rPr>
        <w:t>nach</w:t>
      </w:r>
      <w:r w:rsidR="00A84F13">
        <w:rPr>
          <w:rFonts w:ascii="Arial" w:hAnsi="Arial" w:cs="Arial"/>
          <w:szCs w:val="20"/>
        </w:rPr>
        <w:t xml:space="preserve"> der </w:t>
      </w:r>
      <w:r w:rsidR="00DE798A">
        <w:rPr>
          <w:rFonts w:ascii="Arial" w:hAnsi="Arial" w:cs="Arial"/>
          <w:szCs w:val="20"/>
        </w:rPr>
        <w:t>ersten</w:t>
      </w:r>
      <w:r w:rsidR="00A84F13">
        <w:rPr>
          <w:rFonts w:ascii="Arial" w:hAnsi="Arial" w:cs="Arial"/>
          <w:szCs w:val="20"/>
        </w:rPr>
        <w:t xml:space="preserve"> Validierung </w:t>
      </w:r>
      <w:r>
        <w:rPr>
          <w:rFonts w:ascii="Arial" w:hAnsi="Arial" w:cs="Arial"/>
          <w:szCs w:val="20"/>
        </w:rPr>
        <w:t xml:space="preserve">DEU </w:t>
      </w:r>
      <w:r w:rsidR="00A84F13">
        <w:rPr>
          <w:rFonts w:ascii="Arial" w:hAnsi="Arial" w:cs="Arial"/>
          <w:szCs w:val="20"/>
        </w:rPr>
        <w:t>und mit Veröffentlichung des EITI Standards in 2019 in Kraft.</w:t>
      </w:r>
      <w:r w:rsidR="009C1986">
        <w:rPr>
          <w:rFonts w:ascii="Arial" w:hAnsi="Arial" w:cs="Arial"/>
          <w:szCs w:val="20"/>
        </w:rPr>
        <w:t xml:space="preserve"> </w:t>
      </w:r>
      <w:r>
        <w:rPr>
          <w:rFonts w:ascii="Arial" w:hAnsi="Arial" w:cs="Arial"/>
          <w:szCs w:val="20"/>
        </w:rPr>
        <w:t>Daraufhin wurde für DEU in 2021 eine</w:t>
      </w:r>
      <w:r w:rsidRPr="00FF5FD8">
        <w:rPr>
          <w:rFonts w:ascii="Arial" w:hAnsi="Arial" w:cs="Arial"/>
          <w:szCs w:val="20"/>
        </w:rPr>
        <w:t xml:space="preserve"> Teilvalidierung</w:t>
      </w:r>
      <w:r>
        <w:rPr>
          <w:rFonts w:ascii="Arial" w:hAnsi="Arial" w:cs="Arial"/>
          <w:szCs w:val="20"/>
        </w:rPr>
        <w:t xml:space="preserve"> durchgeführt. Die Ziffer 2.5 des EITI-Standards wurde </w:t>
      </w:r>
      <w:r w:rsidR="009C1986">
        <w:rPr>
          <w:rFonts w:ascii="Arial" w:hAnsi="Arial" w:cs="Arial"/>
          <w:szCs w:val="20"/>
        </w:rPr>
        <w:t xml:space="preserve">im Rahmen der </w:t>
      </w:r>
      <w:r w:rsidR="009C1986" w:rsidRPr="00F12360">
        <w:rPr>
          <w:rFonts w:ascii="Arial" w:hAnsi="Arial" w:cs="Arial"/>
          <w:b/>
          <w:szCs w:val="20"/>
        </w:rPr>
        <w:t>Teilvalidierung</w:t>
      </w:r>
      <w:r w:rsidR="009C1986">
        <w:rPr>
          <w:rFonts w:ascii="Arial" w:hAnsi="Arial" w:cs="Arial"/>
          <w:szCs w:val="20"/>
        </w:rPr>
        <w:t xml:space="preserve"> als</w:t>
      </w:r>
      <w:r w:rsidR="009C1986" w:rsidRPr="00BF3141">
        <w:rPr>
          <w:rFonts w:ascii="Arial" w:hAnsi="Arial" w:cs="Arial"/>
          <w:szCs w:val="20"/>
        </w:rPr>
        <w:t xml:space="preserve"> </w:t>
      </w:r>
      <w:r w:rsidR="009C1986" w:rsidRPr="00F12360">
        <w:rPr>
          <w:rFonts w:ascii="Arial" w:hAnsi="Arial" w:cs="Arial"/>
          <w:b/>
          <w:szCs w:val="20"/>
        </w:rPr>
        <w:t>erfüllt</w:t>
      </w:r>
      <w:r w:rsidR="009C1986">
        <w:rPr>
          <w:rFonts w:ascii="Arial" w:hAnsi="Arial" w:cs="Arial"/>
          <w:szCs w:val="20"/>
        </w:rPr>
        <w:t xml:space="preserve"> angesehen</w:t>
      </w:r>
      <w:r>
        <w:rPr>
          <w:rFonts w:ascii="Arial" w:hAnsi="Arial" w:cs="Arial"/>
          <w:szCs w:val="20"/>
        </w:rPr>
        <w:t xml:space="preserve">, da </w:t>
      </w:r>
      <w:r w:rsidR="009C1986">
        <w:rPr>
          <w:rFonts w:ascii="Arial" w:hAnsi="Arial" w:cs="Arial"/>
          <w:szCs w:val="20"/>
        </w:rPr>
        <w:t>die wirtschaftlich Berechtigten unmittelbar aus der Einsicht in das Transparenzregister hervorg</w:t>
      </w:r>
      <w:r>
        <w:rPr>
          <w:rFonts w:ascii="Arial" w:hAnsi="Arial" w:cs="Arial"/>
          <w:szCs w:val="20"/>
        </w:rPr>
        <w:t>ingen</w:t>
      </w:r>
      <w:r w:rsidR="009C1986">
        <w:rPr>
          <w:rFonts w:ascii="Arial" w:hAnsi="Arial" w:cs="Arial"/>
          <w:szCs w:val="20"/>
        </w:rPr>
        <w:t>, welches für die gesamte Öffentlichkeit unbeschränkt zugänglich war.</w:t>
      </w:r>
      <w:r>
        <w:rPr>
          <w:rFonts w:ascii="Arial" w:hAnsi="Arial" w:cs="Arial"/>
          <w:szCs w:val="20"/>
        </w:rPr>
        <w:t xml:space="preserve"> Eine zusätzliche Veröffentlichung der wirtschaftlich Berechtigten erfolgte im D-EITI Bericht nicht. Dies wurde im Rahmen der Teilvalidierung nicht beanstandet.</w:t>
      </w:r>
    </w:p>
    <w:p w14:paraId="7C4D4367" w14:textId="34C1999E" w:rsidR="00640A5B" w:rsidRDefault="00F97705" w:rsidP="00DC5361">
      <w:pPr>
        <w:rPr>
          <w:rFonts w:ascii="Helvetica" w:hAnsi="Helvetica"/>
          <w:color w:val="222222"/>
          <w:shd w:val="clear" w:color="auto" w:fill="FFFFFF"/>
        </w:rPr>
      </w:pPr>
      <w:r w:rsidRPr="00BB1384">
        <w:rPr>
          <w:rFonts w:ascii="Arial" w:hAnsi="Arial" w:cs="Arial"/>
          <w:b/>
        </w:rPr>
        <w:t>A</w:t>
      </w:r>
      <w:r w:rsidR="00640A5B" w:rsidRPr="00BB1384">
        <w:rPr>
          <w:rFonts w:ascii="Arial" w:hAnsi="Arial" w:cs="Arial"/>
          <w:b/>
        </w:rPr>
        <w:t>ufgrund des EuGH-Urteils</w:t>
      </w:r>
      <w:r w:rsidR="00640A5B" w:rsidRPr="00F97705">
        <w:rPr>
          <w:rFonts w:ascii="Arial" w:hAnsi="Arial" w:cs="Arial"/>
        </w:rPr>
        <w:t xml:space="preserve"> vom 22.11.2</w:t>
      </w:r>
      <w:r w:rsidR="00640A5B" w:rsidRPr="00F97705">
        <w:rPr>
          <w:rFonts w:ascii="Arial" w:hAnsi="Arial" w:cs="Arial"/>
        </w:rPr>
        <w:footnoteReference w:id="2"/>
      </w:r>
      <w:r w:rsidR="00640A5B" w:rsidRPr="00F97705">
        <w:rPr>
          <w:rFonts w:ascii="Arial" w:hAnsi="Arial" w:cs="Arial"/>
        </w:rPr>
        <w:t xml:space="preserve"> </w:t>
      </w:r>
      <w:r>
        <w:rPr>
          <w:rFonts w:ascii="Arial" w:hAnsi="Arial" w:cs="Arial"/>
        </w:rPr>
        <w:t xml:space="preserve">haben Mitglieder der Öffentlichkeit </w:t>
      </w:r>
      <w:r w:rsidR="00640A5B" w:rsidRPr="00F97705">
        <w:rPr>
          <w:rFonts w:ascii="Arial" w:hAnsi="Arial" w:cs="Arial"/>
        </w:rPr>
        <w:t xml:space="preserve">den Antrag auf Einsichtnahme bei Antragstellung zu begründen und hierzu ein </w:t>
      </w:r>
      <w:r w:rsidR="00640A5B" w:rsidRPr="00BB1384">
        <w:rPr>
          <w:rFonts w:ascii="Arial" w:hAnsi="Arial" w:cs="Arial"/>
          <w:b/>
        </w:rPr>
        <w:t>berechtigtes Interesse</w:t>
      </w:r>
      <w:r w:rsidR="00640A5B" w:rsidRPr="00F97705">
        <w:rPr>
          <w:rFonts w:ascii="Arial" w:hAnsi="Arial" w:cs="Arial"/>
        </w:rPr>
        <w:t xml:space="preserve"> an der Einsichtnahme </w:t>
      </w:r>
      <w:r w:rsidR="00FF5FD8">
        <w:rPr>
          <w:rFonts w:ascii="Arial" w:hAnsi="Arial" w:cs="Arial"/>
        </w:rPr>
        <w:t xml:space="preserve">in das Transparenzregister </w:t>
      </w:r>
      <w:r w:rsidR="00640A5B" w:rsidRPr="00F97705">
        <w:rPr>
          <w:rFonts w:ascii="Arial" w:hAnsi="Arial" w:cs="Arial"/>
        </w:rPr>
        <w:t>darzulegen</w:t>
      </w:r>
      <w:r>
        <w:rPr>
          <w:rStyle w:val="Funotenzeichen"/>
          <w:rFonts w:ascii="Helvetica" w:hAnsi="Helvetica"/>
          <w:color w:val="222222"/>
          <w:shd w:val="clear" w:color="auto" w:fill="FFFFFF"/>
        </w:rPr>
        <w:footnoteReference w:id="3"/>
      </w:r>
      <w:r w:rsidR="00640A5B" w:rsidRPr="00F97705">
        <w:rPr>
          <w:rFonts w:ascii="Arial" w:hAnsi="Arial" w:cs="Arial"/>
        </w:rPr>
        <w:t xml:space="preserve">. Auf Anfrage des BMWK/BMF hat der </w:t>
      </w:r>
      <w:r w:rsidR="00BA2D8F">
        <w:rPr>
          <w:rFonts w:ascii="Arial" w:hAnsi="Arial" w:cs="Arial"/>
        </w:rPr>
        <w:t xml:space="preserve">nach EITI Standard beauftragte </w:t>
      </w:r>
      <w:r w:rsidR="00640A5B" w:rsidRPr="00F97705">
        <w:rPr>
          <w:rFonts w:ascii="Arial" w:hAnsi="Arial" w:cs="Arial"/>
        </w:rPr>
        <w:t>Unabhängige Verwalter</w:t>
      </w:r>
      <w:r w:rsidR="00BA2D8F">
        <w:rPr>
          <w:rFonts w:ascii="Arial" w:hAnsi="Arial" w:cs="Arial"/>
        </w:rPr>
        <w:t xml:space="preserve"> (UV)</w:t>
      </w:r>
      <w:r w:rsidR="00640A5B" w:rsidRPr="00F97705">
        <w:rPr>
          <w:rFonts w:ascii="Arial" w:hAnsi="Arial" w:cs="Arial"/>
        </w:rPr>
        <w:t xml:space="preserve"> </w:t>
      </w:r>
      <w:r>
        <w:rPr>
          <w:rFonts w:ascii="Arial" w:hAnsi="Arial" w:cs="Arial"/>
        </w:rPr>
        <w:t xml:space="preserve">die </w:t>
      </w:r>
      <w:r w:rsidR="00640A5B" w:rsidRPr="00F97705">
        <w:rPr>
          <w:rFonts w:ascii="Arial" w:hAnsi="Arial" w:cs="Arial"/>
        </w:rPr>
        <w:t xml:space="preserve">Einsichtnahme in </w:t>
      </w:r>
      <w:r w:rsidR="00640A5B" w:rsidRPr="00F97705">
        <w:rPr>
          <w:rFonts w:ascii="Arial" w:hAnsi="Arial" w:cs="Arial"/>
        </w:rPr>
        <w:lastRenderedPageBreak/>
        <w:t xml:space="preserve">das Transparenzregister </w:t>
      </w:r>
      <w:r>
        <w:rPr>
          <w:rFonts w:ascii="Arial" w:hAnsi="Arial" w:cs="Arial"/>
        </w:rPr>
        <w:t xml:space="preserve">als Mitglied der Öffentlichkeit </w:t>
      </w:r>
      <w:r w:rsidR="00640A5B" w:rsidRPr="00F97705">
        <w:rPr>
          <w:rFonts w:ascii="Arial" w:hAnsi="Arial" w:cs="Arial"/>
        </w:rPr>
        <w:t xml:space="preserve">erhalten und die Einträge der </w:t>
      </w:r>
      <w:r>
        <w:rPr>
          <w:rFonts w:ascii="Arial" w:hAnsi="Arial" w:cs="Arial"/>
        </w:rPr>
        <w:t xml:space="preserve">an </w:t>
      </w:r>
      <w:r w:rsidR="00640A5B" w:rsidRPr="00F97705">
        <w:rPr>
          <w:rFonts w:ascii="Arial" w:hAnsi="Arial" w:cs="Arial"/>
        </w:rPr>
        <w:t xml:space="preserve">D-EITI </w:t>
      </w:r>
      <w:r>
        <w:rPr>
          <w:rFonts w:ascii="Arial" w:hAnsi="Arial" w:cs="Arial"/>
        </w:rPr>
        <w:t xml:space="preserve">teilnehmenden </w:t>
      </w:r>
      <w:r w:rsidR="00640A5B" w:rsidRPr="00F97705">
        <w:rPr>
          <w:rFonts w:ascii="Arial" w:hAnsi="Arial" w:cs="Arial"/>
        </w:rPr>
        <w:t>Unternehmen auf Plausibilität geprüft</w:t>
      </w:r>
      <w:r w:rsidR="00640A5B">
        <w:rPr>
          <w:rFonts w:ascii="Helvetica" w:hAnsi="Helvetica"/>
          <w:color w:val="222222"/>
          <w:shd w:val="clear" w:color="auto" w:fill="FFFFFF"/>
        </w:rPr>
        <w:t>.</w:t>
      </w:r>
      <w:r w:rsidR="00F925D2">
        <w:rPr>
          <w:rFonts w:ascii="Helvetica" w:hAnsi="Helvetica"/>
          <w:color w:val="222222"/>
          <w:shd w:val="clear" w:color="auto" w:fill="FFFFFF"/>
        </w:rPr>
        <w:t xml:space="preserve"> Das Ergebnis wurde veröffentlicht.</w:t>
      </w:r>
      <w:r>
        <w:rPr>
          <w:rStyle w:val="Funotenzeichen"/>
          <w:rFonts w:ascii="Helvetica" w:hAnsi="Helvetica"/>
          <w:color w:val="222222"/>
          <w:shd w:val="clear" w:color="auto" w:fill="FFFFFF"/>
        </w:rPr>
        <w:footnoteReference w:id="4"/>
      </w:r>
    </w:p>
    <w:p w14:paraId="4C276408" w14:textId="1208995B" w:rsidR="00A84F13" w:rsidRDefault="00640A5B" w:rsidP="00DC5361">
      <w:pPr>
        <w:rPr>
          <w:rFonts w:ascii="Arial" w:hAnsi="Arial" w:cs="Arial"/>
        </w:rPr>
      </w:pPr>
      <w:r>
        <w:rPr>
          <w:rFonts w:ascii="Arial" w:hAnsi="Arial" w:cs="Arial"/>
        </w:rPr>
        <w:t xml:space="preserve">Nach </w:t>
      </w:r>
      <w:r w:rsidR="00FF5FD8">
        <w:rPr>
          <w:rFonts w:ascii="Arial" w:hAnsi="Arial" w:cs="Arial"/>
        </w:rPr>
        <w:t xml:space="preserve">mitgeteilter </w:t>
      </w:r>
      <w:r>
        <w:rPr>
          <w:rFonts w:ascii="Arial" w:hAnsi="Arial" w:cs="Arial"/>
        </w:rPr>
        <w:t>Auffassung des Internationalen EITI Sekretariats sei die Einsicht durch den</w:t>
      </w:r>
      <w:r w:rsidR="00BA2D8F">
        <w:rPr>
          <w:rFonts w:ascii="Arial" w:hAnsi="Arial" w:cs="Arial"/>
        </w:rPr>
        <w:t xml:space="preserve"> </w:t>
      </w:r>
      <w:r>
        <w:rPr>
          <w:rFonts w:ascii="Arial" w:hAnsi="Arial" w:cs="Arial"/>
        </w:rPr>
        <w:t>Unabhängigen Verwalter</w:t>
      </w:r>
      <w:r w:rsidR="00BA2D8F">
        <w:rPr>
          <w:rFonts w:ascii="Arial" w:hAnsi="Arial" w:cs="Arial"/>
        </w:rPr>
        <w:t xml:space="preserve"> jedoch</w:t>
      </w:r>
      <w:r>
        <w:rPr>
          <w:rFonts w:ascii="Arial" w:hAnsi="Arial" w:cs="Arial"/>
        </w:rPr>
        <w:t xml:space="preserve"> </w:t>
      </w:r>
      <w:r w:rsidR="00F97705">
        <w:rPr>
          <w:rFonts w:ascii="Arial" w:hAnsi="Arial" w:cs="Arial"/>
        </w:rPr>
        <w:t>nicht ausreichend</w:t>
      </w:r>
      <w:r w:rsidR="00A84F13">
        <w:rPr>
          <w:rFonts w:ascii="Arial" w:hAnsi="Arial" w:cs="Arial"/>
        </w:rPr>
        <w:t xml:space="preserve">, mit folgender Argumentation: </w:t>
      </w:r>
    </w:p>
    <w:p w14:paraId="7AF49C0C" w14:textId="5593EE34" w:rsidR="00A84F13" w:rsidRPr="00A84F13" w:rsidRDefault="00A84F13" w:rsidP="00A84F13">
      <w:pPr>
        <w:pStyle w:val="Listenabsatz"/>
        <w:numPr>
          <w:ilvl w:val="0"/>
          <w:numId w:val="1"/>
        </w:numPr>
        <w:rPr>
          <w:rFonts w:ascii="Arial" w:hAnsi="Arial" w:cs="Arial"/>
          <w:szCs w:val="20"/>
        </w:rPr>
      </w:pPr>
      <w:r>
        <w:rPr>
          <w:rFonts w:ascii="Arial" w:hAnsi="Arial" w:cs="Arial"/>
        </w:rPr>
        <w:t xml:space="preserve">Die EITI Standardanforderung 2.5. verlangt, dass Informationen über Wirtschaftlich Berechtigte veröffentlicht werden. Eine Attestierung der Plausibilität der Eintragungen </w:t>
      </w:r>
      <w:r w:rsidR="00DE798A">
        <w:rPr>
          <w:rFonts w:ascii="Arial" w:hAnsi="Arial" w:cs="Arial"/>
        </w:rPr>
        <w:t>durch den Unabhängigen Verwalter sei</w:t>
      </w:r>
      <w:r>
        <w:rPr>
          <w:rFonts w:ascii="Arial" w:hAnsi="Arial" w:cs="Arial"/>
        </w:rPr>
        <w:t xml:space="preserve"> nicht ausreichend</w:t>
      </w:r>
      <w:r w:rsidR="00BA2D8F" w:rsidRPr="00A84F13">
        <w:rPr>
          <w:rFonts w:ascii="Arial" w:hAnsi="Arial" w:cs="Arial"/>
        </w:rPr>
        <w:t>.</w:t>
      </w:r>
    </w:p>
    <w:p w14:paraId="41EFAC79" w14:textId="77777777" w:rsidR="00A84F13" w:rsidRPr="00A84F13" w:rsidRDefault="00A84F13" w:rsidP="00A84F13">
      <w:pPr>
        <w:pStyle w:val="Listenabsatz"/>
        <w:numPr>
          <w:ilvl w:val="0"/>
          <w:numId w:val="1"/>
        </w:numPr>
        <w:rPr>
          <w:rFonts w:ascii="Arial" w:hAnsi="Arial" w:cs="Arial"/>
          <w:szCs w:val="20"/>
        </w:rPr>
      </w:pPr>
      <w:r>
        <w:rPr>
          <w:rFonts w:ascii="Arial" w:hAnsi="Arial" w:cs="Arial"/>
        </w:rPr>
        <w:t xml:space="preserve">Die EITI Standardanforderung 2.5. verlangt, dass Informationen über Wirtschaftlich Berechtigte für </w:t>
      </w:r>
      <w:r w:rsidRPr="00A84F13">
        <w:rPr>
          <w:rFonts w:ascii="Arial" w:hAnsi="Arial" w:cs="Arial"/>
          <w:u w:val="single"/>
        </w:rPr>
        <w:t>alle</w:t>
      </w:r>
      <w:r>
        <w:rPr>
          <w:rFonts w:ascii="Arial" w:hAnsi="Arial" w:cs="Arial"/>
        </w:rPr>
        <w:t xml:space="preserve"> Unternehmen der rohstoffgewinnenden Industrie im EITI Mitgliedsland öffentlich zugänglich sind oder über die EITI Berichterstattung veröffentlicht werden.</w:t>
      </w:r>
      <w:r w:rsidR="00F97705" w:rsidRPr="00A84F13">
        <w:rPr>
          <w:rFonts w:ascii="Arial" w:hAnsi="Arial" w:cs="Arial"/>
        </w:rPr>
        <w:t xml:space="preserve"> </w:t>
      </w:r>
    </w:p>
    <w:p w14:paraId="3B1FB696" w14:textId="64500A22" w:rsidR="00BF3141" w:rsidRPr="00A84F13" w:rsidRDefault="00BA2D8F" w:rsidP="009C1986">
      <w:pPr>
        <w:rPr>
          <w:rFonts w:ascii="Arial" w:hAnsi="Arial" w:cs="Arial"/>
          <w:szCs w:val="20"/>
        </w:rPr>
      </w:pPr>
      <w:r w:rsidRPr="00A84F13">
        <w:rPr>
          <w:rFonts w:ascii="Arial" w:hAnsi="Arial" w:cs="Arial"/>
        </w:rPr>
        <w:t>Das</w:t>
      </w:r>
      <w:r w:rsidR="00F97705" w:rsidRPr="00A84F13">
        <w:rPr>
          <w:rFonts w:ascii="Arial" w:hAnsi="Arial" w:cs="Arial"/>
        </w:rPr>
        <w:t xml:space="preserve"> Erfordernis des berechtigten Interesses an der Einsicht </w:t>
      </w:r>
      <w:r w:rsidRPr="00A84F13">
        <w:rPr>
          <w:rFonts w:ascii="Arial" w:hAnsi="Arial" w:cs="Arial"/>
        </w:rPr>
        <w:t xml:space="preserve">ins </w:t>
      </w:r>
      <w:r w:rsidR="00A84F13">
        <w:rPr>
          <w:rFonts w:ascii="Arial" w:hAnsi="Arial" w:cs="Arial"/>
        </w:rPr>
        <w:t>vorhande</w:t>
      </w:r>
      <w:r w:rsidR="009C1986">
        <w:rPr>
          <w:rFonts w:ascii="Arial" w:hAnsi="Arial" w:cs="Arial"/>
        </w:rPr>
        <w:t>n</w:t>
      </w:r>
      <w:r w:rsidR="00A84F13">
        <w:rPr>
          <w:rFonts w:ascii="Arial" w:hAnsi="Arial" w:cs="Arial"/>
        </w:rPr>
        <w:t xml:space="preserve">e </w:t>
      </w:r>
      <w:r w:rsidRPr="00A84F13">
        <w:rPr>
          <w:rFonts w:ascii="Arial" w:hAnsi="Arial" w:cs="Arial"/>
        </w:rPr>
        <w:t xml:space="preserve">Transparenzregister </w:t>
      </w:r>
      <w:r w:rsidR="00B42704" w:rsidRPr="00A84F13">
        <w:rPr>
          <w:rFonts w:ascii="Arial" w:hAnsi="Arial" w:cs="Arial"/>
        </w:rPr>
        <w:t xml:space="preserve">sei zudem ein Hemmnis, </w:t>
      </w:r>
      <w:r w:rsidR="003C036A" w:rsidRPr="00A84F13">
        <w:rPr>
          <w:rFonts w:ascii="Arial" w:hAnsi="Arial" w:cs="Arial"/>
        </w:rPr>
        <w:t>so</w:t>
      </w:r>
      <w:r w:rsidR="00B42704" w:rsidRPr="00A84F13">
        <w:rPr>
          <w:rFonts w:ascii="Arial" w:hAnsi="Arial" w:cs="Arial"/>
        </w:rPr>
        <w:t xml:space="preserve">dass </w:t>
      </w:r>
      <w:r w:rsidR="00BB1384">
        <w:rPr>
          <w:rFonts w:ascii="Arial" w:hAnsi="Arial" w:cs="Arial"/>
        </w:rPr>
        <w:t xml:space="preserve">die </w:t>
      </w:r>
      <w:r w:rsidR="00A84F13">
        <w:rPr>
          <w:rFonts w:ascii="Arial" w:hAnsi="Arial" w:cs="Arial"/>
        </w:rPr>
        <w:t>Anforderung</w:t>
      </w:r>
      <w:r w:rsidRPr="00A84F13">
        <w:rPr>
          <w:rFonts w:ascii="Arial" w:hAnsi="Arial" w:cs="Arial"/>
        </w:rPr>
        <w:t xml:space="preserve"> 2.5 des </w:t>
      </w:r>
      <w:r w:rsidR="00B42704" w:rsidRPr="00A84F13">
        <w:rPr>
          <w:rFonts w:ascii="Arial" w:hAnsi="Arial" w:cs="Arial"/>
        </w:rPr>
        <w:t xml:space="preserve">EITI </w:t>
      </w:r>
      <w:r w:rsidRPr="00A84F13">
        <w:rPr>
          <w:rFonts w:ascii="Arial" w:hAnsi="Arial" w:cs="Arial"/>
        </w:rPr>
        <w:t>Standards nicht</w:t>
      </w:r>
      <w:r w:rsidR="00B42704" w:rsidRPr="00A84F13">
        <w:rPr>
          <w:rFonts w:ascii="Arial" w:hAnsi="Arial" w:cs="Arial"/>
        </w:rPr>
        <w:t xml:space="preserve"> mehr erfüllt sei</w:t>
      </w:r>
      <w:r w:rsidR="00F97705" w:rsidRPr="00A84F13">
        <w:rPr>
          <w:rFonts w:ascii="Arial" w:hAnsi="Arial" w:cs="Arial"/>
        </w:rPr>
        <w:t xml:space="preserve">. Dies </w:t>
      </w:r>
      <w:r w:rsidR="00640A5B" w:rsidRPr="00A84F13">
        <w:rPr>
          <w:rFonts w:ascii="Arial" w:hAnsi="Arial" w:cs="Arial"/>
        </w:rPr>
        <w:t>wurde i</w:t>
      </w:r>
      <w:r w:rsidR="00BF3141" w:rsidRPr="00A84F13">
        <w:rPr>
          <w:rFonts w:ascii="Arial" w:hAnsi="Arial" w:cs="Arial"/>
        </w:rPr>
        <w:t>m Rahmen der Prä-Validierung als ein kritischer Punkt identifiziert und das BMWK um Stellungnahme gebeten</w:t>
      </w:r>
      <w:r w:rsidRPr="00A84F13">
        <w:rPr>
          <w:rFonts w:ascii="Arial" w:hAnsi="Arial" w:cs="Arial"/>
        </w:rPr>
        <w:t xml:space="preserve">, u.a. zum Zweck des Transparenzregisters, </w:t>
      </w:r>
      <w:r w:rsidR="00B42704" w:rsidRPr="00A84F13">
        <w:rPr>
          <w:rFonts w:ascii="Arial" w:hAnsi="Arial" w:cs="Arial"/>
        </w:rPr>
        <w:t xml:space="preserve">zum </w:t>
      </w:r>
      <w:r w:rsidRPr="00A84F13">
        <w:rPr>
          <w:rFonts w:ascii="Arial" w:hAnsi="Arial" w:cs="Arial"/>
        </w:rPr>
        <w:t xml:space="preserve">Vorliegen des berechtigten Interesses, </w:t>
      </w:r>
      <w:r w:rsidR="00B42704" w:rsidRPr="00A84F13">
        <w:rPr>
          <w:rFonts w:ascii="Arial" w:hAnsi="Arial" w:cs="Arial"/>
        </w:rPr>
        <w:t xml:space="preserve">zur </w:t>
      </w:r>
      <w:r w:rsidRPr="00A84F13">
        <w:rPr>
          <w:rFonts w:ascii="Arial" w:hAnsi="Arial" w:cs="Arial"/>
        </w:rPr>
        <w:t>Auslegung des EuGH-Urteils</w:t>
      </w:r>
      <w:r w:rsidR="00B42704" w:rsidRPr="00A84F13">
        <w:rPr>
          <w:rFonts w:ascii="Arial" w:hAnsi="Arial" w:cs="Arial"/>
        </w:rPr>
        <w:t>, zur</w:t>
      </w:r>
      <w:r w:rsidRPr="00A84F13">
        <w:rPr>
          <w:rFonts w:ascii="Arial" w:hAnsi="Arial" w:cs="Arial"/>
        </w:rPr>
        <w:t xml:space="preserve"> Anwendung des Kriteriums „berechtigtes Interesse“</w:t>
      </w:r>
      <w:r w:rsidR="00725859" w:rsidRPr="00A84F13">
        <w:rPr>
          <w:rFonts w:ascii="Arial" w:hAnsi="Arial" w:cs="Arial"/>
        </w:rPr>
        <w:t xml:space="preserve"> und</w:t>
      </w:r>
      <w:r w:rsidR="00C25161" w:rsidRPr="00A84F13">
        <w:rPr>
          <w:rFonts w:ascii="Arial" w:hAnsi="Arial" w:cs="Arial"/>
        </w:rPr>
        <w:t xml:space="preserve"> </w:t>
      </w:r>
      <w:r w:rsidR="00B42704" w:rsidRPr="00A84F13">
        <w:rPr>
          <w:rFonts w:ascii="Arial" w:hAnsi="Arial" w:cs="Arial"/>
        </w:rPr>
        <w:t xml:space="preserve">zur Frage, </w:t>
      </w:r>
      <w:r w:rsidR="00C25161" w:rsidRPr="00A84F13">
        <w:rPr>
          <w:rFonts w:ascii="Arial" w:hAnsi="Arial" w:cs="Arial"/>
        </w:rPr>
        <w:t>inwiefern Ausnahmen für den Rohstoffsektor möglich sind</w:t>
      </w:r>
      <w:r w:rsidRPr="00A84F13">
        <w:rPr>
          <w:rFonts w:ascii="Arial" w:hAnsi="Arial" w:cs="Arial"/>
        </w:rPr>
        <w:t>. Zudem sei</w:t>
      </w:r>
      <w:r w:rsidR="00B42704" w:rsidRPr="00A84F13">
        <w:rPr>
          <w:rFonts w:ascii="Arial" w:hAnsi="Arial" w:cs="Arial"/>
        </w:rPr>
        <w:t>en</w:t>
      </w:r>
      <w:r w:rsidR="00BA0EBA" w:rsidRPr="00A84F13">
        <w:rPr>
          <w:rFonts w:ascii="Arial" w:hAnsi="Arial" w:cs="Arial"/>
        </w:rPr>
        <w:t xml:space="preserve"> in </w:t>
      </w:r>
      <w:r w:rsidR="00B42704" w:rsidRPr="00A84F13">
        <w:rPr>
          <w:rFonts w:ascii="Arial" w:hAnsi="Arial" w:cs="Arial"/>
        </w:rPr>
        <w:t xml:space="preserve">einigen </w:t>
      </w:r>
      <w:r w:rsidR="00BA0EBA" w:rsidRPr="00A84F13">
        <w:rPr>
          <w:rFonts w:ascii="Arial" w:hAnsi="Arial" w:cs="Arial"/>
        </w:rPr>
        <w:t>anderen</w:t>
      </w:r>
      <w:r w:rsidRPr="00A84F13">
        <w:rPr>
          <w:rFonts w:ascii="Arial" w:hAnsi="Arial" w:cs="Arial"/>
        </w:rPr>
        <w:t xml:space="preserve"> EU-Ländern</w:t>
      </w:r>
      <w:r w:rsidR="00BA0EBA" w:rsidRPr="00A84F13">
        <w:rPr>
          <w:rFonts w:ascii="Arial" w:hAnsi="Arial" w:cs="Arial"/>
        </w:rPr>
        <w:t xml:space="preserve"> </w:t>
      </w:r>
      <w:r w:rsidR="00B42704" w:rsidRPr="00A84F13">
        <w:rPr>
          <w:rFonts w:ascii="Arial" w:hAnsi="Arial" w:cs="Arial"/>
        </w:rPr>
        <w:t>die „Register“ geöffnet</w:t>
      </w:r>
      <w:r w:rsidR="00BA0EBA" w:rsidRPr="00A84F13">
        <w:rPr>
          <w:rFonts w:ascii="Arial" w:hAnsi="Arial" w:cs="Arial"/>
        </w:rPr>
        <w:t xml:space="preserve"> und das EuGH-Urteil werde </w:t>
      </w:r>
      <w:r w:rsidR="00B42704" w:rsidRPr="00A84F13">
        <w:rPr>
          <w:rFonts w:ascii="Arial" w:hAnsi="Arial" w:cs="Arial"/>
        </w:rPr>
        <w:t xml:space="preserve">dort </w:t>
      </w:r>
      <w:r w:rsidR="00BA0EBA" w:rsidRPr="00A84F13">
        <w:rPr>
          <w:rFonts w:ascii="Arial" w:hAnsi="Arial" w:cs="Arial"/>
        </w:rPr>
        <w:t>abweichend interpretiert</w:t>
      </w:r>
      <w:r w:rsidRPr="00A84F13">
        <w:rPr>
          <w:rFonts w:ascii="Arial" w:hAnsi="Arial" w:cs="Arial"/>
        </w:rPr>
        <w:t>.</w:t>
      </w:r>
      <w:r w:rsidR="00BF3141">
        <w:rPr>
          <w:rStyle w:val="Funotenzeichen"/>
          <w:rFonts w:ascii="Arial" w:hAnsi="Arial" w:cs="Arial"/>
        </w:rPr>
        <w:footnoteReference w:id="5"/>
      </w:r>
      <w:r w:rsidR="00640A5B" w:rsidRPr="00A84F13">
        <w:rPr>
          <w:rFonts w:ascii="Arial" w:hAnsi="Arial" w:cs="Arial"/>
        </w:rPr>
        <w:t xml:space="preserve"> </w:t>
      </w:r>
    </w:p>
    <w:p w14:paraId="4AAC6F2F" w14:textId="022F1F9D" w:rsidR="008512C7" w:rsidRPr="00F50B87" w:rsidRDefault="00BB1384" w:rsidP="008512C7">
      <w:pPr>
        <w:rPr>
          <w:rFonts w:ascii="Arial" w:hAnsi="Arial" w:cs="Arial"/>
          <w:b/>
          <w:szCs w:val="20"/>
        </w:rPr>
      </w:pPr>
      <w:r>
        <w:rPr>
          <w:rFonts w:ascii="Arial" w:hAnsi="Arial" w:cs="Arial"/>
          <w:szCs w:val="20"/>
        </w:rPr>
        <w:t>Die Privatwirtschaft wurde zudem um Prüfung gebeten, inwiefern</w:t>
      </w:r>
      <w:r w:rsidR="008512C7" w:rsidRPr="00987085">
        <w:rPr>
          <w:rFonts w:ascii="Arial" w:hAnsi="Arial" w:cs="Arial"/>
          <w:szCs w:val="20"/>
        </w:rPr>
        <w:t xml:space="preserve"> die Unternehmen in der Lage sind, die Angaben zur Veröffentlichung zur Verfügung zu stellen oder Angaben zu wirtschaftlich Berechtigten bereits </w:t>
      </w:r>
      <w:r w:rsidR="008512C7">
        <w:rPr>
          <w:rFonts w:ascii="Arial" w:hAnsi="Arial" w:cs="Arial"/>
          <w:szCs w:val="20"/>
        </w:rPr>
        <w:t xml:space="preserve">selbst </w:t>
      </w:r>
      <w:r w:rsidR="008512C7" w:rsidRPr="00987085">
        <w:rPr>
          <w:rFonts w:ascii="Arial" w:hAnsi="Arial" w:cs="Arial"/>
          <w:szCs w:val="20"/>
        </w:rPr>
        <w:t>anderweitig veröffentlichen</w:t>
      </w:r>
      <w:r w:rsidR="008512C7" w:rsidRPr="00BB1384">
        <w:rPr>
          <w:rFonts w:ascii="Arial" w:hAnsi="Arial" w:cs="Arial"/>
          <w:szCs w:val="20"/>
        </w:rPr>
        <w:t>.</w:t>
      </w:r>
    </w:p>
    <w:p w14:paraId="54323DFB" w14:textId="77777777" w:rsidR="00DB171F" w:rsidRDefault="00DB171F" w:rsidP="00DC5361">
      <w:pPr>
        <w:rPr>
          <w:rFonts w:ascii="Arial" w:hAnsi="Arial" w:cs="Arial"/>
          <w:b/>
          <w:szCs w:val="20"/>
          <w:u w:val="single"/>
        </w:rPr>
      </w:pPr>
    </w:p>
    <w:p w14:paraId="2680B335" w14:textId="77777777" w:rsidR="00B04170" w:rsidRPr="00B04170" w:rsidRDefault="00B04170" w:rsidP="00DC5361">
      <w:pPr>
        <w:rPr>
          <w:rFonts w:ascii="Arial" w:hAnsi="Arial" w:cs="Arial"/>
          <w:b/>
          <w:szCs w:val="20"/>
          <w:u w:val="single"/>
        </w:rPr>
      </w:pPr>
      <w:r w:rsidRPr="00B04170">
        <w:rPr>
          <w:rFonts w:ascii="Arial" w:hAnsi="Arial" w:cs="Arial"/>
          <w:b/>
          <w:szCs w:val="20"/>
          <w:u w:val="single"/>
        </w:rPr>
        <w:t>II. Bewertung</w:t>
      </w:r>
    </w:p>
    <w:p w14:paraId="3267B6BF" w14:textId="4D1080A6" w:rsidR="005C271B" w:rsidRPr="008512C7" w:rsidRDefault="00B42704" w:rsidP="00DC5361">
      <w:pPr>
        <w:rPr>
          <w:rFonts w:ascii="Arial" w:hAnsi="Arial" w:cs="Arial"/>
          <w:szCs w:val="20"/>
        </w:rPr>
      </w:pPr>
      <w:r>
        <w:rPr>
          <w:rFonts w:ascii="Arial" w:hAnsi="Arial" w:cs="Arial"/>
          <w:szCs w:val="20"/>
        </w:rPr>
        <w:t>Der Fokus</w:t>
      </w:r>
      <w:r w:rsidR="00156998">
        <w:rPr>
          <w:rFonts w:ascii="Arial" w:hAnsi="Arial" w:cs="Arial"/>
          <w:szCs w:val="20"/>
        </w:rPr>
        <w:t xml:space="preserve"> der Bewertung</w:t>
      </w:r>
      <w:r>
        <w:rPr>
          <w:rFonts w:ascii="Arial" w:hAnsi="Arial" w:cs="Arial"/>
          <w:szCs w:val="20"/>
        </w:rPr>
        <w:t xml:space="preserve"> liegt auf den </w:t>
      </w:r>
      <w:r w:rsidR="005969A3">
        <w:rPr>
          <w:rFonts w:ascii="Arial" w:hAnsi="Arial" w:cs="Arial"/>
          <w:szCs w:val="20"/>
        </w:rPr>
        <w:t>aus Sicht des Internationalen EITI Sekretariats wichtigen Punkte</w:t>
      </w:r>
      <w:r>
        <w:rPr>
          <w:rFonts w:ascii="Arial" w:hAnsi="Arial" w:cs="Arial"/>
          <w:szCs w:val="20"/>
        </w:rPr>
        <w:t>n</w:t>
      </w:r>
      <w:r w:rsidR="005969A3">
        <w:rPr>
          <w:rFonts w:ascii="Arial" w:hAnsi="Arial" w:cs="Arial"/>
          <w:szCs w:val="20"/>
        </w:rPr>
        <w:t xml:space="preserve">. Eine umfassende Darstellung der Sach- und Rechtslage würde </w:t>
      </w:r>
      <w:r w:rsidR="000922A5">
        <w:rPr>
          <w:rFonts w:ascii="Arial" w:hAnsi="Arial" w:cs="Arial"/>
          <w:szCs w:val="20"/>
        </w:rPr>
        <w:t>d</w:t>
      </w:r>
      <w:r w:rsidR="005969A3">
        <w:rPr>
          <w:rFonts w:ascii="Arial" w:hAnsi="Arial" w:cs="Arial"/>
          <w:szCs w:val="20"/>
        </w:rPr>
        <w:t>en Rahmen dieser Stellungnahme sprengen</w:t>
      </w:r>
      <w:r>
        <w:rPr>
          <w:rFonts w:ascii="Arial" w:hAnsi="Arial" w:cs="Arial"/>
          <w:szCs w:val="20"/>
        </w:rPr>
        <w:t>, die im Rahmen der</w:t>
      </w:r>
      <w:r w:rsidRPr="00B42704">
        <w:rPr>
          <w:rFonts w:ascii="Arial" w:hAnsi="Arial" w:cs="Arial"/>
          <w:szCs w:val="20"/>
        </w:rPr>
        <w:t xml:space="preserve"> </w:t>
      </w:r>
      <w:r>
        <w:rPr>
          <w:rFonts w:ascii="Arial" w:hAnsi="Arial" w:cs="Arial"/>
          <w:szCs w:val="20"/>
        </w:rPr>
        <w:t>Validierung DEU nach EITI Standard erfolgt</w:t>
      </w:r>
      <w:r w:rsidR="005969A3">
        <w:rPr>
          <w:rFonts w:ascii="Arial" w:hAnsi="Arial" w:cs="Arial"/>
          <w:szCs w:val="20"/>
        </w:rPr>
        <w:t>.</w:t>
      </w:r>
    </w:p>
    <w:p w14:paraId="4FDA8398" w14:textId="52636BAB" w:rsidR="008512C7" w:rsidRDefault="00170FAD" w:rsidP="00DC5361">
      <w:pPr>
        <w:rPr>
          <w:rFonts w:ascii="Arial" w:hAnsi="Arial" w:cs="Arial"/>
          <w:szCs w:val="20"/>
        </w:rPr>
      </w:pPr>
      <w:r w:rsidRPr="002224FB">
        <w:rPr>
          <w:rFonts w:ascii="Arial" w:hAnsi="Arial" w:cs="Arial"/>
          <w:szCs w:val="20"/>
        </w:rPr>
        <w:t xml:space="preserve">Im Ergebnis ist die Anforderung an die Transparenz über wirtschaftlich Berechtigte gemäß </w:t>
      </w:r>
      <w:r>
        <w:rPr>
          <w:rFonts w:ascii="Arial" w:hAnsi="Arial" w:cs="Arial"/>
          <w:szCs w:val="20"/>
        </w:rPr>
        <w:t>Ziffer</w:t>
      </w:r>
      <w:r w:rsidRPr="002224FB">
        <w:rPr>
          <w:rFonts w:ascii="Arial" w:hAnsi="Arial" w:cs="Arial"/>
          <w:szCs w:val="20"/>
        </w:rPr>
        <w:t xml:space="preserve"> 2.5 </w:t>
      </w:r>
      <w:r>
        <w:rPr>
          <w:rFonts w:ascii="Arial" w:hAnsi="Arial" w:cs="Arial"/>
          <w:szCs w:val="20"/>
        </w:rPr>
        <w:t xml:space="preserve">des </w:t>
      </w:r>
      <w:r w:rsidRPr="002224FB">
        <w:rPr>
          <w:rFonts w:ascii="Arial" w:hAnsi="Arial" w:cs="Arial"/>
          <w:szCs w:val="20"/>
        </w:rPr>
        <w:t>EITI Standard</w:t>
      </w:r>
      <w:r>
        <w:rPr>
          <w:rFonts w:ascii="Arial" w:hAnsi="Arial" w:cs="Arial"/>
          <w:szCs w:val="20"/>
        </w:rPr>
        <w:t>s</w:t>
      </w:r>
      <w:r w:rsidR="00FF5FD8">
        <w:rPr>
          <w:rFonts w:ascii="Arial" w:hAnsi="Arial" w:cs="Arial"/>
          <w:szCs w:val="20"/>
        </w:rPr>
        <w:t xml:space="preserve"> </w:t>
      </w:r>
      <w:r w:rsidR="004D1B83" w:rsidRPr="003A5280">
        <w:rPr>
          <w:rFonts w:ascii="Arial" w:hAnsi="Arial" w:cs="Arial"/>
          <w:szCs w:val="20"/>
          <w:u w:val="single"/>
        </w:rPr>
        <w:t xml:space="preserve">vollständig </w:t>
      </w:r>
      <w:r w:rsidRPr="003A5280">
        <w:rPr>
          <w:rFonts w:ascii="Arial" w:hAnsi="Arial" w:cs="Arial"/>
          <w:szCs w:val="20"/>
          <w:u w:val="single"/>
        </w:rPr>
        <w:t>erfüllt</w:t>
      </w:r>
      <w:r>
        <w:rPr>
          <w:rFonts w:ascii="Arial" w:hAnsi="Arial" w:cs="Arial"/>
          <w:szCs w:val="20"/>
        </w:rPr>
        <w:t xml:space="preserve">. </w:t>
      </w:r>
    </w:p>
    <w:p w14:paraId="1E24C119" w14:textId="77777777" w:rsidR="004D1B83" w:rsidRDefault="004D1B83" w:rsidP="00DC5361">
      <w:pPr>
        <w:rPr>
          <w:rFonts w:ascii="Arial" w:hAnsi="Arial" w:cs="Arial"/>
          <w:szCs w:val="20"/>
        </w:rPr>
      </w:pPr>
    </w:p>
    <w:p w14:paraId="0152B6E9" w14:textId="1662AA44" w:rsidR="004D1B83" w:rsidRPr="00A120C7" w:rsidRDefault="004D1B83" w:rsidP="004D1B83">
      <w:pPr>
        <w:rPr>
          <w:rFonts w:ascii="Arial" w:hAnsi="Arial" w:cs="Arial"/>
          <w:b/>
          <w:szCs w:val="20"/>
        </w:rPr>
      </w:pPr>
      <w:r>
        <w:rPr>
          <w:rFonts w:ascii="Arial" w:hAnsi="Arial" w:cs="Arial"/>
          <w:b/>
          <w:szCs w:val="20"/>
        </w:rPr>
        <w:t xml:space="preserve">1. </w:t>
      </w:r>
      <w:r w:rsidRPr="00A120C7">
        <w:rPr>
          <w:rFonts w:ascii="Arial" w:hAnsi="Arial" w:cs="Arial"/>
          <w:b/>
          <w:szCs w:val="20"/>
        </w:rPr>
        <w:t>Recht</w:t>
      </w:r>
      <w:r>
        <w:rPr>
          <w:rFonts w:ascii="Arial" w:hAnsi="Arial" w:cs="Arial"/>
          <w:b/>
          <w:szCs w:val="20"/>
        </w:rPr>
        <w:t>licher Hintergrund und Zweck des Transparenzregisters</w:t>
      </w:r>
    </w:p>
    <w:p w14:paraId="360C296E" w14:textId="0EB9CF6B" w:rsidR="004D1B83" w:rsidRDefault="004D1B83" w:rsidP="004D1B83">
      <w:pPr>
        <w:rPr>
          <w:rFonts w:ascii="Arial" w:hAnsi="Arial" w:cs="Arial"/>
          <w:szCs w:val="20"/>
        </w:rPr>
      </w:pPr>
      <w:r>
        <w:rPr>
          <w:rFonts w:ascii="Arial" w:hAnsi="Arial" w:cs="Arial"/>
          <w:szCs w:val="20"/>
        </w:rPr>
        <w:t xml:space="preserve">Das bei der Bundesanzeiger Verlag GmbH vom Bundesverwaltungsamt geführte zentrale elektronische </w:t>
      </w:r>
      <w:r w:rsidRPr="00987085">
        <w:rPr>
          <w:rFonts w:ascii="Arial" w:hAnsi="Arial" w:cs="Arial"/>
          <w:szCs w:val="20"/>
        </w:rPr>
        <w:t>Transparenzregister gemäß Geldwäschegesetz (GwG) enthält Angaben zu wirtschaftlich Berechtigten bzw. wirtschaftlichen Eigentümern von Unternehmen</w:t>
      </w:r>
      <w:r w:rsidRPr="00987085">
        <w:rPr>
          <w:rStyle w:val="Funotenzeichen"/>
          <w:rFonts w:ascii="Arial" w:hAnsi="Arial" w:cs="Arial"/>
          <w:szCs w:val="20"/>
        </w:rPr>
        <w:footnoteReference w:id="6"/>
      </w:r>
      <w:r w:rsidRPr="00987085">
        <w:rPr>
          <w:rFonts w:ascii="Arial" w:hAnsi="Arial" w:cs="Arial"/>
          <w:szCs w:val="20"/>
        </w:rPr>
        <w:t xml:space="preserve">. </w:t>
      </w:r>
    </w:p>
    <w:p w14:paraId="09570096" w14:textId="0040D5A9" w:rsidR="003A5280" w:rsidRDefault="003A5280" w:rsidP="004D1B83">
      <w:pPr>
        <w:rPr>
          <w:rFonts w:ascii="Arial" w:hAnsi="Arial" w:cs="Arial"/>
          <w:szCs w:val="20"/>
        </w:rPr>
      </w:pPr>
      <w:r>
        <w:rPr>
          <w:rFonts w:ascii="Arial" w:hAnsi="Arial" w:cs="Arial"/>
          <w:szCs w:val="20"/>
          <w:u w:val="single"/>
        </w:rPr>
        <w:lastRenderedPageBreak/>
        <w:t xml:space="preserve">Klarzustellen ist, dass </w:t>
      </w:r>
      <w:r w:rsidRPr="003A5280">
        <w:rPr>
          <w:rFonts w:ascii="Arial" w:hAnsi="Arial" w:cs="Arial"/>
          <w:szCs w:val="20"/>
          <w:u w:val="single"/>
        </w:rPr>
        <w:t xml:space="preserve">die Mitteilungspflichten über wirtschaftlich Berechtigte nach den §§ 19ff GwG </w:t>
      </w:r>
      <w:r>
        <w:rPr>
          <w:rFonts w:ascii="Arial" w:hAnsi="Arial" w:cs="Arial"/>
          <w:szCs w:val="20"/>
          <w:u w:val="single"/>
        </w:rPr>
        <w:t xml:space="preserve">- </w:t>
      </w:r>
      <w:r w:rsidRPr="003A5280">
        <w:rPr>
          <w:rFonts w:ascii="Arial" w:hAnsi="Arial" w:cs="Arial"/>
          <w:szCs w:val="20"/>
          <w:u w:val="single"/>
        </w:rPr>
        <w:t xml:space="preserve">unverändert </w:t>
      </w:r>
      <w:r>
        <w:rPr>
          <w:rFonts w:ascii="Arial" w:hAnsi="Arial" w:cs="Arial"/>
          <w:szCs w:val="20"/>
          <w:u w:val="single"/>
        </w:rPr>
        <w:t>und u</w:t>
      </w:r>
      <w:r w:rsidRPr="003A5280">
        <w:rPr>
          <w:rFonts w:ascii="Arial" w:hAnsi="Arial" w:cs="Arial"/>
          <w:szCs w:val="20"/>
          <w:u w:val="single"/>
        </w:rPr>
        <w:t xml:space="preserve">nabhängig von dem EuGH-Urteil </w:t>
      </w:r>
      <w:r w:rsidR="00680B9D">
        <w:rPr>
          <w:rFonts w:ascii="Arial" w:hAnsi="Arial" w:cs="Arial"/>
          <w:szCs w:val="20"/>
          <w:u w:val="single"/>
        </w:rPr>
        <w:t>–</w:t>
      </w:r>
      <w:r>
        <w:rPr>
          <w:rFonts w:ascii="Arial" w:hAnsi="Arial" w:cs="Arial"/>
          <w:szCs w:val="20"/>
          <w:u w:val="single"/>
        </w:rPr>
        <w:t xml:space="preserve"> fort</w:t>
      </w:r>
      <w:r w:rsidRPr="003A5280">
        <w:rPr>
          <w:rFonts w:ascii="Arial" w:hAnsi="Arial" w:cs="Arial"/>
          <w:szCs w:val="20"/>
          <w:u w:val="single"/>
        </w:rPr>
        <w:t>bestehen</w:t>
      </w:r>
      <w:r w:rsidR="00680B9D">
        <w:rPr>
          <w:rFonts w:ascii="Arial" w:hAnsi="Arial" w:cs="Arial"/>
          <w:szCs w:val="20"/>
          <w:u w:val="single"/>
        </w:rPr>
        <w:t>. Das</w:t>
      </w:r>
      <w:r w:rsidRPr="003A5280">
        <w:rPr>
          <w:rFonts w:ascii="Arial" w:hAnsi="Arial" w:cs="Arial"/>
          <w:szCs w:val="20"/>
          <w:u w:val="single"/>
        </w:rPr>
        <w:t xml:space="preserve"> Transparenzregister</w:t>
      </w:r>
      <w:r>
        <w:rPr>
          <w:rFonts w:ascii="Arial" w:hAnsi="Arial" w:cs="Arial"/>
          <w:szCs w:val="20"/>
          <w:u w:val="single"/>
        </w:rPr>
        <w:t xml:space="preserve"> </w:t>
      </w:r>
      <w:r w:rsidRPr="003A5280">
        <w:rPr>
          <w:rFonts w:ascii="Arial" w:hAnsi="Arial" w:cs="Arial"/>
          <w:szCs w:val="20"/>
          <w:u w:val="single"/>
        </w:rPr>
        <w:t>ist online</w:t>
      </w:r>
      <w:r>
        <w:rPr>
          <w:rFonts w:ascii="Arial" w:hAnsi="Arial" w:cs="Arial"/>
          <w:szCs w:val="20"/>
        </w:rPr>
        <w:t>.</w:t>
      </w:r>
    </w:p>
    <w:p w14:paraId="5D3FB021" w14:textId="6BBC68C4" w:rsidR="004D1B83" w:rsidRDefault="004D1B83" w:rsidP="004D1B83">
      <w:pPr>
        <w:rPr>
          <w:rFonts w:ascii="Arial" w:hAnsi="Arial" w:cs="Arial"/>
          <w:szCs w:val="20"/>
        </w:rPr>
      </w:pPr>
      <w:r w:rsidRPr="008512C7">
        <w:rPr>
          <w:rFonts w:ascii="Arial" w:hAnsi="Arial" w:cs="Arial"/>
          <w:szCs w:val="20"/>
          <w:u w:val="single"/>
        </w:rPr>
        <w:t xml:space="preserve">Der Zweck des zentralen elektronischen Transparenzregisters </w:t>
      </w:r>
      <w:r>
        <w:rPr>
          <w:rFonts w:ascii="Arial" w:hAnsi="Arial" w:cs="Arial"/>
          <w:szCs w:val="20"/>
          <w:u w:val="single"/>
        </w:rPr>
        <w:t xml:space="preserve">ist </w:t>
      </w:r>
      <w:r w:rsidRPr="008512C7">
        <w:rPr>
          <w:rFonts w:ascii="Arial" w:hAnsi="Arial" w:cs="Arial"/>
          <w:szCs w:val="20"/>
          <w:u w:val="single"/>
        </w:rPr>
        <w:t>konkret durch EU-Recht vorgegeben</w:t>
      </w:r>
      <w:r w:rsidRPr="00987085">
        <w:rPr>
          <w:rFonts w:ascii="Arial" w:hAnsi="Arial" w:cs="Arial"/>
          <w:szCs w:val="20"/>
        </w:rPr>
        <w:t>. Ziel ist (auch heute) gemäß</w:t>
      </w:r>
      <w:r w:rsidRPr="008512C7">
        <w:rPr>
          <w:rFonts w:ascii="Arial" w:hAnsi="Arial" w:cs="Arial"/>
          <w:szCs w:val="20"/>
          <w:u w:val="single"/>
        </w:rPr>
        <w:t xml:space="preserve"> Art. 1 Abs. 1 </w:t>
      </w:r>
      <w:r w:rsidRPr="00987085">
        <w:rPr>
          <w:rFonts w:ascii="Arial" w:hAnsi="Arial" w:cs="Arial"/>
          <w:szCs w:val="20"/>
        </w:rPr>
        <w:t xml:space="preserve">der </w:t>
      </w:r>
      <w:r>
        <w:rPr>
          <w:rFonts w:ascii="Arial" w:hAnsi="Arial" w:cs="Arial"/>
          <w:szCs w:val="20"/>
        </w:rPr>
        <w:t>4. EU-Geldwäscher</w:t>
      </w:r>
      <w:r w:rsidRPr="00987085">
        <w:rPr>
          <w:rFonts w:ascii="Arial" w:hAnsi="Arial" w:cs="Arial"/>
          <w:szCs w:val="20"/>
        </w:rPr>
        <w:t>ichtlinie die Verhinderung der Nutzung des EU-Finanzsystems zu</w:t>
      </w:r>
      <w:r>
        <w:rPr>
          <w:rFonts w:ascii="Arial" w:hAnsi="Arial" w:cs="Arial"/>
          <w:szCs w:val="20"/>
        </w:rPr>
        <w:t>m</w:t>
      </w:r>
      <w:r w:rsidRPr="00987085">
        <w:rPr>
          <w:rFonts w:ascii="Arial" w:hAnsi="Arial" w:cs="Arial"/>
          <w:szCs w:val="20"/>
        </w:rPr>
        <w:t xml:space="preserve"> Zwecke der Geldwäsche und der Terrorismusfinanzierung. Die 4. </w:t>
      </w:r>
      <w:r>
        <w:rPr>
          <w:rFonts w:ascii="Arial" w:hAnsi="Arial" w:cs="Arial"/>
          <w:szCs w:val="20"/>
        </w:rPr>
        <w:t>EU-</w:t>
      </w:r>
      <w:r w:rsidRPr="00987085">
        <w:rPr>
          <w:rFonts w:ascii="Arial" w:hAnsi="Arial" w:cs="Arial"/>
          <w:szCs w:val="20"/>
        </w:rPr>
        <w:t>Geldwäscherichtlinie (GWRL 2015) verpflichtete die EU-Mitgliedsstaaten</w:t>
      </w:r>
      <w:r w:rsidRPr="00F55CE9">
        <w:rPr>
          <w:rFonts w:ascii="Arial" w:hAnsi="Arial" w:cs="Arial"/>
          <w:szCs w:val="20"/>
        </w:rPr>
        <w:t xml:space="preserve"> dazu, Informationen über die wirtschaft</w:t>
      </w:r>
      <w:bookmarkStart w:id="0" w:name="_GoBack"/>
      <w:bookmarkEnd w:id="0"/>
      <w:r w:rsidRPr="00F55CE9">
        <w:rPr>
          <w:rFonts w:ascii="Arial" w:hAnsi="Arial" w:cs="Arial"/>
          <w:szCs w:val="20"/>
        </w:rPr>
        <w:t>lichen Eigentümer von den dort eingetragenen Unternehmen in einem Register zu speichern</w:t>
      </w:r>
      <w:r w:rsidRPr="00F55CE9">
        <w:rPr>
          <w:rStyle w:val="Funotenzeichen"/>
          <w:rFonts w:ascii="Arial" w:hAnsi="Arial" w:cs="Arial"/>
          <w:szCs w:val="20"/>
        </w:rPr>
        <w:footnoteReference w:id="7"/>
      </w:r>
      <w:r w:rsidRPr="00F55CE9">
        <w:rPr>
          <w:rFonts w:ascii="Arial" w:hAnsi="Arial" w:cs="Arial"/>
          <w:szCs w:val="20"/>
        </w:rPr>
        <w:t>. Dies</w:t>
      </w:r>
      <w:r>
        <w:rPr>
          <w:rFonts w:ascii="Arial" w:hAnsi="Arial" w:cs="Arial"/>
          <w:szCs w:val="20"/>
        </w:rPr>
        <w:t>e Vorgabe</w:t>
      </w:r>
      <w:r w:rsidRPr="00F55CE9">
        <w:rPr>
          <w:rFonts w:ascii="Arial" w:hAnsi="Arial" w:cs="Arial"/>
          <w:szCs w:val="20"/>
        </w:rPr>
        <w:t xml:space="preserve"> hat der deutsche Gesetzgeber </w:t>
      </w:r>
      <w:r>
        <w:rPr>
          <w:rFonts w:ascii="Arial" w:hAnsi="Arial" w:cs="Arial"/>
          <w:szCs w:val="20"/>
        </w:rPr>
        <w:t xml:space="preserve">mit der Einführung des Transparenzregisters </w:t>
      </w:r>
      <w:r w:rsidRPr="00F55CE9">
        <w:rPr>
          <w:rFonts w:ascii="Arial" w:hAnsi="Arial" w:cs="Arial"/>
          <w:szCs w:val="20"/>
        </w:rPr>
        <w:t xml:space="preserve">in </w:t>
      </w:r>
      <w:r>
        <w:rPr>
          <w:rFonts w:ascii="Arial" w:hAnsi="Arial" w:cs="Arial"/>
          <w:szCs w:val="20"/>
        </w:rPr>
        <w:t xml:space="preserve">den </w:t>
      </w:r>
      <w:r w:rsidRPr="00F55CE9">
        <w:rPr>
          <w:rFonts w:ascii="Arial" w:hAnsi="Arial" w:cs="Arial"/>
          <w:szCs w:val="20"/>
        </w:rPr>
        <w:t>§§ 18</w:t>
      </w:r>
      <w:r>
        <w:rPr>
          <w:rFonts w:ascii="Arial" w:hAnsi="Arial" w:cs="Arial"/>
          <w:szCs w:val="20"/>
        </w:rPr>
        <w:t xml:space="preserve"> </w:t>
      </w:r>
      <w:r w:rsidRPr="00F55CE9">
        <w:rPr>
          <w:rFonts w:ascii="Arial" w:hAnsi="Arial" w:cs="Arial"/>
          <w:szCs w:val="20"/>
        </w:rPr>
        <w:t>ff</w:t>
      </w:r>
      <w:r>
        <w:rPr>
          <w:rFonts w:ascii="Arial" w:hAnsi="Arial" w:cs="Arial"/>
          <w:szCs w:val="20"/>
        </w:rPr>
        <w:t>.</w:t>
      </w:r>
      <w:r w:rsidRPr="00F55CE9">
        <w:rPr>
          <w:rFonts w:ascii="Arial" w:hAnsi="Arial" w:cs="Arial"/>
          <w:szCs w:val="20"/>
        </w:rPr>
        <w:t xml:space="preserve"> GwG </w:t>
      </w:r>
      <w:r>
        <w:rPr>
          <w:rFonts w:ascii="Arial" w:hAnsi="Arial" w:cs="Arial"/>
          <w:szCs w:val="20"/>
        </w:rPr>
        <w:t xml:space="preserve">fristgerecht in 2017 </w:t>
      </w:r>
      <w:r w:rsidRPr="00F55CE9">
        <w:rPr>
          <w:rFonts w:ascii="Arial" w:hAnsi="Arial" w:cs="Arial"/>
          <w:szCs w:val="20"/>
        </w:rPr>
        <w:t>in nationales Recht umgesetzt.</w:t>
      </w:r>
    </w:p>
    <w:p w14:paraId="6F54D7A0" w14:textId="77777777" w:rsidR="004D1B83" w:rsidRPr="008512C7" w:rsidRDefault="004D1B83" w:rsidP="004D1B83">
      <w:pPr>
        <w:rPr>
          <w:rFonts w:ascii="Arial" w:hAnsi="Arial" w:cs="Arial"/>
          <w:szCs w:val="20"/>
        </w:rPr>
      </w:pPr>
      <w:r w:rsidRPr="008512C7">
        <w:rPr>
          <w:rFonts w:ascii="Arial" w:hAnsi="Arial" w:cs="Arial"/>
          <w:szCs w:val="20"/>
          <w:u w:val="single"/>
        </w:rPr>
        <w:t>Auch der Umfang des Einsichtsrechts ist europarechtlich vorgegeben</w:t>
      </w:r>
      <w:r w:rsidRPr="00987085">
        <w:rPr>
          <w:rFonts w:ascii="Arial" w:hAnsi="Arial" w:cs="Arial"/>
          <w:szCs w:val="20"/>
        </w:rPr>
        <w:t>. Für die Einsicht der Öffentlichkeit hat die GWRL 2015 noch ein berechtigtes Interesse gefordert</w:t>
      </w:r>
      <w:r w:rsidRPr="00987085">
        <w:rPr>
          <w:rStyle w:val="Funotenzeichen"/>
          <w:rFonts w:ascii="Arial" w:hAnsi="Arial" w:cs="Arial"/>
          <w:szCs w:val="20"/>
        </w:rPr>
        <w:footnoteReference w:id="8"/>
      </w:r>
      <w:r w:rsidRPr="00987085">
        <w:rPr>
          <w:rFonts w:ascii="Arial" w:hAnsi="Arial" w:cs="Arial"/>
          <w:szCs w:val="20"/>
        </w:rPr>
        <w:t xml:space="preserve">. Dies hat der nationale Gesetzgeber im GwG in der alten Fassung umgesetzt. Die 5. </w:t>
      </w:r>
      <w:r>
        <w:rPr>
          <w:rFonts w:ascii="Arial" w:hAnsi="Arial" w:cs="Arial"/>
          <w:szCs w:val="20"/>
        </w:rPr>
        <w:t>EU-</w:t>
      </w:r>
      <w:r w:rsidRPr="00987085">
        <w:rPr>
          <w:rFonts w:ascii="Arial" w:hAnsi="Arial" w:cs="Arial"/>
          <w:szCs w:val="20"/>
        </w:rPr>
        <w:t>Geldwäsche</w:t>
      </w:r>
      <w:r>
        <w:rPr>
          <w:rFonts w:ascii="Arial" w:hAnsi="Arial" w:cs="Arial"/>
          <w:szCs w:val="20"/>
        </w:rPr>
        <w:t>richtlinie</w:t>
      </w:r>
      <w:r w:rsidRPr="00987085">
        <w:rPr>
          <w:rFonts w:ascii="Arial" w:hAnsi="Arial" w:cs="Arial"/>
          <w:szCs w:val="20"/>
        </w:rPr>
        <w:t xml:space="preserve"> (GWRL 2018) schaffte die Zugangsschranke des „berechtigten Interesses“ ab. Die hierdurch bewirkte Zugangserweiterung für alle Mitglieder der Öffentlichkeit setzte der deutsche Gesetzgeber in § 23 Abs. 1 S. 1 Nr. 3 GWG</w:t>
      </w:r>
      <w:r>
        <w:rPr>
          <w:rFonts w:ascii="Arial" w:hAnsi="Arial" w:cs="Arial"/>
          <w:szCs w:val="20"/>
        </w:rPr>
        <w:t xml:space="preserve"> sowie in der </w:t>
      </w:r>
      <w:proofErr w:type="spellStart"/>
      <w:r>
        <w:rPr>
          <w:rFonts w:ascii="Arial" w:hAnsi="Arial" w:cs="Arial"/>
          <w:szCs w:val="20"/>
        </w:rPr>
        <w:t>Transparenzregistereinsichtnahmeverordnung</w:t>
      </w:r>
      <w:proofErr w:type="spellEnd"/>
      <w:r w:rsidRPr="00987085">
        <w:rPr>
          <w:rFonts w:ascii="Arial" w:hAnsi="Arial" w:cs="Arial"/>
          <w:szCs w:val="20"/>
        </w:rPr>
        <w:t xml:space="preserve"> </w:t>
      </w:r>
      <w:r>
        <w:rPr>
          <w:rFonts w:ascii="Arial" w:hAnsi="Arial" w:cs="Arial"/>
          <w:szCs w:val="20"/>
        </w:rPr>
        <w:t xml:space="preserve">fristgerecht zum 1. Januar 2020 </w:t>
      </w:r>
      <w:r w:rsidRPr="00987085">
        <w:rPr>
          <w:rFonts w:ascii="Arial" w:hAnsi="Arial" w:cs="Arial"/>
          <w:szCs w:val="20"/>
        </w:rPr>
        <w:t>um.</w:t>
      </w:r>
      <w:r w:rsidRPr="00987085">
        <w:rPr>
          <w:rStyle w:val="Funotenzeichen"/>
          <w:rFonts w:ascii="Arial" w:hAnsi="Arial" w:cs="Arial"/>
          <w:szCs w:val="20"/>
        </w:rPr>
        <w:footnoteReference w:id="9"/>
      </w:r>
      <w:r w:rsidRPr="00987085">
        <w:rPr>
          <w:rFonts w:ascii="Arial" w:hAnsi="Arial" w:cs="Arial"/>
          <w:szCs w:val="20"/>
        </w:rPr>
        <w:t xml:space="preserve"> </w:t>
      </w:r>
    </w:p>
    <w:p w14:paraId="24E1012C" w14:textId="77777777" w:rsidR="004D1B83" w:rsidRPr="00F55CE9" w:rsidRDefault="004D1B83" w:rsidP="004D1B83">
      <w:pPr>
        <w:rPr>
          <w:rFonts w:ascii="Arial" w:hAnsi="Arial" w:cs="Arial"/>
          <w:szCs w:val="20"/>
        </w:rPr>
      </w:pPr>
      <w:r>
        <w:rPr>
          <w:rFonts w:ascii="Arial" w:hAnsi="Arial" w:cs="Arial"/>
          <w:szCs w:val="20"/>
        </w:rPr>
        <w:t xml:space="preserve">Inwiefern das </w:t>
      </w:r>
      <w:r w:rsidRPr="00183E0D">
        <w:rPr>
          <w:rFonts w:ascii="Arial" w:hAnsi="Arial" w:cs="Arial"/>
          <w:szCs w:val="20"/>
        </w:rPr>
        <w:t xml:space="preserve">Transparenzregister gemäß GwG auch dazu geeignet ist, (ausländische) wirtschaftlich Berechtigte zu ermitteln, um </w:t>
      </w:r>
      <w:r w:rsidRPr="008512C7">
        <w:rPr>
          <w:rFonts w:ascii="Arial" w:hAnsi="Arial" w:cs="Arial"/>
          <w:szCs w:val="20"/>
          <w:u w:val="single"/>
        </w:rPr>
        <w:t xml:space="preserve">Sanktionen </w:t>
      </w:r>
      <w:r>
        <w:rPr>
          <w:rFonts w:ascii="Arial" w:hAnsi="Arial" w:cs="Arial"/>
          <w:szCs w:val="20"/>
        </w:rPr>
        <w:t>zu adressieren, wurde bereits vom Wissenschaftlichen Dienst des Deutschen Bundestages zusammengefasst. Im Ergebnis liegt eine Geeignetheit mit bestimmten Einschränkungen vor</w:t>
      </w:r>
      <w:r>
        <w:rPr>
          <w:rStyle w:val="Funotenzeichen"/>
          <w:rFonts w:ascii="Arial" w:hAnsi="Arial" w:cs="Arial"/>
          <w:szCs w:val="20"/>
        </w:rPr>
        <w:footnoteReference w:id="10"/>
      </w:r>
      <w:r>
        <w:rPr>
          <w:rFonts w:ascii="Arial" w:hAnsi="Arial" w:cs="Arial"/>
          <w:szCs w:val="20"/>
        </w:rPr>
        <w:t xml:space="preserve">. </w:t>
      </w:r>
    </w:p>
    <w:p w14:paraId="680C8733" w14:textId="77777777" w:rsidR="004D1B83" w:rsidRDefault="004D1B83" w:rsidP="004D1B83">
      <w:pPr>
        <w:rPr>
          <w:rFonts w:ascii="Arial" w:hAnsi="Arial" w:cs="Arial"/>
          <w:szCs w:val="20"/>
        </w:rPr>
      </w:pPr>
    </w:p>
    <w:p w14:paraId="1BE68CB8" w14:textId="1C1B8D68" w:rsidR="004D1B83" w:rsidRPr="00A120C7" w:rsidRDefault="004D1B83" w:rsidP="004D1B83">
      <w:pPr>
        <w:rPr>
          <w:rFonts w:ascii="Arial" w:hAnsi="Arial" w:cs="Arial"/>
          <w:b/>
          <w:szCs w:val="20"/>
        </w:rPr>
      </w:pPr>
      <w:r>
        <w:rPr>
          <w:rFonts w:ascii="Arial" w:hAnsi="Arial" w:cs="Arial"/>
          <w:b/>
          <w:szCs w:val="20"/>
        </w:rPr>
        <w:t>2. Aussage des</w:t>
      </w:r>
      <w:r w:rsidRPr="00A120C7">
        <w:rPr>
          <w:rFonts w:ascii="Arial" w:hAnsi="Arial" w:cs="Arial"/>
          <w:b/>
          <w:szCs w:val="20"/>
        </w:rPr>
        <w:t xml:space="preserve"> EuGH-Urteil</w:t>
      </w:r>
      <w:r>
        <w:rPr>
          <w:rFonts w:ascii="Arial" w:hAnsi="Arial" w:cs="Arial"/>
          <w:b/>
          <w:szCs w:val="20"/>
        </w:rPr>
        <w:t>s vom 22.11.2022 (Az.</w:t>
      </w:r>
      <w:r w:rsidRPr="006639FD">
        <w:rPr>
          <w:rFonts w:ascii="Arial" w:hAnsi="Arial" w:cs="Arial"/>
          <w:b/>
          <w:szCs w:val="20"/>
        </w:rPr>
        <w:t xml:space="preserve"> C-37/20 und C-601/20</w:t>
      </w:r>
      <w:r>
        <w:rPr>
          <w:rFonts w:ascii="Arial" w:hAnsi="Arial" w:cs="Arial"/>
          <w:b/>
          <w:szCs w:val="20"/>
        </w:rPr>
        <w:t xml:space="preserve">) </w:t>
      </w:r>
    </w:p>
    <w:p w14:paraId="76B13726" w14:textId="77777777" w:rsidR="004D1B83" w:rsidRPr="00987085" w:rsidRDefault="004D1B83" w:rsidP="004D1B83">
      <w:pPr>
        <w:rPr>
          <w:rFonts w:ascii="Arial" w:hAnsi="Arial" w:cs="Arial"/>
          <w:szCs w:val="20"/>
        </w:rPr>
      </w:pPr>
      <w:r w:rsidRPr="00987085">
        <w:rPr>
          <w:rFonts w:ascii="Arial" w:hAnsi="Arial" w:cs="Arial"/>
          <w:szCs w:val="20"/>
        </w:rPr>
        <w:t xml:space="preserve">Der EuGH hat </w:t>
      </w:r>
      <w:r>
        <w:rPr>
          <w:rFonts w:ascii="Arial" w:hAnsi="Arial" w:cs="Arial"/>
          <w:szCs w:val="20"/>
          <w:u w:val="single"/>
        </w:rPr>
        <w:t>eine</w:t>
      </w:r>
      <w:r w:rsidRPr="00B42206">
        <w:rPr>
          <w:rFonts w:ascii="Arial" w:hAnsi="Arial" w:cs="Arial"/>
          <w:szCs w:val="20"/>
          <w:u w:val="single"/>
        </w:rPr>
        <w:t xml:space="preserve"> Regelung in der </w:t>
      </w:r>
      <w:r>
        <w:rPr>
          <w:rFonts w:ascii="Arial" w:hAnsi="Arial" w:cs="Arial"/>
          <w:szCs w:val="20"/>
          <w:u w:val="single"/>
        </w:rPr>
        <w:t xml:space="preserve">5. </w:t>
      </w:r>
      <w:r w:rsidRPr="00B42206">
        <w:rPr>
          <w:rFonts w:ascii="Arial" w:hAnsi="Arial" w:cs="Arial"/>
          <w:szCs w:val="20"/>
          <w:u w:val="single"/>
        </w:rPr>
        <w:t>GWRL 2018</w:t>
      </w:r>
      <w:r>
        <w:rPr>
          <w:rFonts w:ascii="Arial" w:hAnsi="Arial" w:cs="Arial"/>
          <w:szCs w:val="20"/>
          <w:u w:val="single"/>
        </w:rPr>
        <w:t>,</w:t>
      </w:r>
      <w:r w:rsidRPr="00B42206">
        <w:rPr>
          <w:rFonts w:ascii="Arial" w:hAnsi="Arial" w:cs="Arial"/>
          <w:szCs w:val="20"/>
          <w:u w:val="single"/>
        </w:rPr>
        <w:t xml:space="preserve"> </w:t>
      </w:r>
      <w:r>
        <w:rPr>
          <w:rFonts w:ascii="Arial" w:hAnsi="Arial" w:cs="Arial"/>
          <w:szCs w:val="20"/>
          <w:u w:val="single"/>
        </w:rPr>
        <w:t>nach der</w:t>
      </w:r>
      <w:r w:rsidRPr="00987085">
        <w:rPr>
          <w:rFonts w:ascii="Arial" w:hAnsi="Arial" w:cs="Arial"/>
          <w:szCs w:val="20"/>
        </w:rPr>
        <w:t xml:space="preserve"> die Informationen über die wirtschaftlich Berechtigten der im Transparenzregister eingetragenen Gesellschaften oder anderen juristischen Personen in allen Fällen für alle Mitglieder der Öffentlichkeit zugänglich </w:t>
      </w:r>
      <w:r>
        <w:rPr>
          <w:rFonts w:ascii="Arial" w:hAnsi="Arial" w:cs="Arial"/>
          <w:szCs w:val="20"/>
        </w:rPr>
        <w:t xml:space="preserve">zu machen </w:t>
      </w:r>
      <w:r w:rsidRPr="00987085">
        <w:rPr>
          <w:rFonts w:ascii="Arial" w:hAnsi="Arial" w:cs="Arial"/>
          <w:szCs w:val="20"/>
        </w:rPr>
        <w:t>sind</w:t>
      </w:r>
      <w:r>
        <w:rPr>
          <w:rFonts w:ascii="Arial" w:hAnsi="Arial" w:cs="Arial"/>
          <w:szCs w:val="20"/>
        </w:rPr>
        <w:t xml:space="preserve">, </w:t>
      </w:r>
      <w:r w:rsidRPr="00E73246">
        <w:rPr>
          <w:rFonts w:ascii="Arial" w:hAnsi="Arial" w:cs="Arial"/>
          <w:szCs w:val="20"/>
          <w:u w:val="single"/>
        </w:rPr>
        <w:t>für ungültig erklärt</w:t>
      </w:r>
      <w:r w:rsidRPr="00987085">
        <w:rPr>
          <w:rFonts w:ascii="Arial" w:hAnsi="Arial" w:cs="Arial"/>
          <w:szCs w:val="20"/>
        </w:rPr>
        <w:t xml:space="preserve">. </w:t>
      </w:r>
    </w:p>
    <w:p w14:paraId="079D9183" w14:textId="77777777" w:rsidR="004D1B83" w:rsidRDefault="004D1B83" w:rsidP="004D1B83">
      <w:pPr>
        <w:rPr>
          <w:rFonts w:ascii="Arial" w:hAnsi="Arial" w:cs="Arial"/>
          <w:szCs w:val="20"/>
        </w:rPr>
      </w:pPr>
      <w:r w:rsidRPr="00987085">
        <w:rPr>
          <w:rFonts w:ascii="Arial" w:hAnsi="Arial" w:cs="Arial"/>
          <w:szCs w:val="20"/>
        </w:rPr>
        <w:t xml:space="preserve">Nach Einschätzung des EuGH </w:t>
      </w:r>
      <w:r w:rsidRPr="008512C7">
        <w:rPr>
          <w:rFonts w:ascii="Arial" w:hAnsi="Arial" w:cs="Arial"/>
          <w:szCs w:val="20"/>
          <w:u w:val="single"/>
        </w:rPr>
        <w:t>verstößt die</w:t>
      </w:r>
      <w:r>
        <w:rPr>
          <w:rFonts w:ascii="Arial" w:hAnsi="Arial" w:cs="Arial"/>
          <w:szCs w:val="20"/>
          <w:u w:val="single"/>
        </w:rPr>
        <w:t>se Regelung der</w:t>
      </w:r>
      <w:r w:rsidRPr="008512C7">
        <w:rPr>
          <w:rFonts w:ascii="Arial" w:hAnsi="Arial" w:cs="Arial"/>
          <w:szCs w:val="20"/>
          <w:u w:val="single"/>
        </w:rPr>
        <w:t xml:space="preserve"> GWRL 2018 gegen</w:t>
      </w:r>
      <w:r>
        <w:rPr>
          <w:rFonts w:ascii="Arial" w:hAnsi="Arial" w:cs="Arial"/>
          <w:szCs w:val="20"/>
          <w:u w:val="single"/>
        </w:rPr>
        <w:t xml:space="preserve"> die</w:t>
      </w:r>
      <w:r w:rsidRPr="00987085">
        <w:rPr>
          <w:rFonts w:ascii="Arial" w:hAnsi="Arial" w:cs="Arial"/>
          <w:szCs w:val="20"/>
        </w:rPr>
        <w:t xml:space="preserve"> </w:t>
      </w:r>
      <w:r w:rsidRPr="00B42206">
        <w:rPr>
          <w:rFonts w:ascii="Arial" w:hAnsi="Arial" w:cs="Arial"/>
          <w:szCs w:val="20"/>
          <w:u w:val="single"/>
        </w:rPr>
        <w:t>EU-Grundrechte auf Achtung des Privatlebens und auf Schutz personenbezogener Daten</w:t>
      </w:r>
      <w:r w:rsidRPr="00987085">
        <w:rPr>
          <w:rFonts w:ascii="Arial" w:hAnsi="Arial" w:cs="Arial"/>
          <w:szCs w:val="20"/>
        </w:rPr>
        <w:t xml:space="preserve"> (Art. 7 und 8 der Charta der Grundrechte der EU, </w:t>
      </w:r>
      <w:proofErr w:type="spellStart"/>
      <w:r w:rsidRPr="00987085">
        <w:rPr>
          <w:rFonts w:ascii="Arial" w:hAnsi="Arial" w:cs="Arial"/>
          <w:szCs w:val="20"/>
        </w:rPr>
        <w:t>GRCh</w:t>
      </w:r>
      <w:proofErr w:type="spellEnd"/>
      <w:r w:rsidRPr="00987085">
        <w:rPr>
          <w:rFonts w:ascii="Arial" w:hAnsi="Arial" w:cs="Arial"/>
          <w:szCs w:val="20"/>
        </w:rPr>
        <w:t>).</w:t>
      </w:r>
      <w:r>
        <w:rPr>
          <w:rStyle w:val="Funotenzeichen"/>
          <w:rFonts w:ascii="Arial" w:hAnsi="Arial" w:cs="Arial"/>
          <w:szCs w:val="20"/>
        </w:rPr>
        <w:footnoteReference w:id="11"/>
      </w:r>
      <w:r w:rsidRPr="00987085">
        <w:rPr>
          <w:rFonts w:ascii="Arial" w:hAnsi="Arial" w:cs="Arial"/>
          <w:szCs w:val="20"/>
        </w:rPr>
        <w:t xml:space="preserve"> </w:t>
      </w:r>
      <w:r>
        <w:rPr>
          <w:rFonts w:ascii="Arial" w:hAnsi="Arial" w:cs="Arial"/>
          <w:szCs w:val="20"/>
        </w:rPr>
        <w:t>Es</w:t>
      </w:r>
      <w:r w:rsidRPr="00987085">
        <w:rPr>
          <w:rFonts w:ascii="Arial" w:hAnsi="Arial" w:cs="Arial"/>
          <w:szCs w:val="20"/>
        </w:rPr>
        <w:t xml:space="preserve"> handele sich um </w:t>
      </w:r>
      <w:r w:rsidRPr="00B42206">
        <w:rPr>
          <w:rFonts w:ascii="Arial" w:hAnsi="Arial" w:cs="Arial"/>
          <w:szCs w:val="20"/>
          <w:u w:val="single"/>
        </w:rPr>
        <w:t>schwerwiegende und unverhältnismäßige Eingriffe</w:t>
      </w:r>
      <w:r w:rsidRPr="00987085">
        <w:rPr>
          <w:rFonts w:ascii="Arial" w:hAnsi="Arial" w:cs="Arial"/>
          <w:szCs w:val="20"/>
        </w:rPr>
        <w:t xml:space="preserve"> in die Rechte der Betroffenen</w:t>
      </w:r>
      <w:r>
        <w:rPr>
          <w:rStyle w:val="Funotenzeichen"/>
          <w:rFonts w:ascii="Arial" w:hAnsi="Arial" w:cs="Arial"/>
          <w:szCs w:val="20"/>
        </w:rPr>
        <w:footnoteReference w:id="12"/>
      </w:r>
      <w:r>
        <w:rPr>
          <w:rFonts w:ascii="Arial" w:hAnsi="Arial" w:cs="Arial"/>
          <w:szCs w:val="20"/>
        </w:rPr>
        <w:t xml:space="preserve"> , die zur Erreichung des mit dem Transparenzregister angestrebten Zwecks nicht erforderlich seien. </w:t>
      </w:r>
      <w:r>
        <w:rPr>
          <w:rStyle w:val="Funotenzeichen"/>
          <w:rFonts w:ascii="Arial" w:hAnsi="Arial" w:cs="Arial"/>
          <w:szCs w:val="20"/>
        </w:rPr>
        <w:footnoteReference w:id="13"/>
      </w:r>
    </w:p>
    <w:p w14:paraId="42E406DC" w14:textId="3B4FB7CF" w:rsidR="004D1B83" w:rsidRPr="00E73246" w:rsidRDefault="004D1B83" w:rsidP="004D1B83">
      <w:pPr>
        <w:rPr>
          <w:rFonts w:ascii="Arial" w:hAnsi="Arial" w:cs="Arial"/>
          <w:szCs w:val="20"/>
        </w:rPr>
      </w:pPr>
      <w:r w:rsidRPr="00D80053">
        <w:rPr>
          <w:rFonts w:ascii="Arial" w:hAnsi="Arial" w:cs="Arial"/>
          <w:szCs w:val="20"/>
        </w:rPr>
        <w:lastRenderedPageBreak/>
        <w:t xml:space="preserve">Bei dem Urteil handelt es sich um eine Entscheidung in einem Vorabentscheidungsverfahren nach Art. 267 AEUV. Ein Vorabentscheidungsurteil </w:t>
      </w:r>
      <w:proofErr w:type="gramStart"/>
      <w:r w:rsidRPr="00D80053">
        <w:rPr>
          <w:rFonts w:ascii="Arial" w:hAnsi="Arial" w:cs="Arial"/>
          <w:szCs w:val="20"/>
        </w:rPr>
        <w:t>des EuGH</w:t>
      </w:r>
      <w:proofErr w:type="gramEnd"/>
      <w:r w:rsidRPr="00D80053">
        <w:rPr>
          <w:rFonts w:ascii="Arial" w:hAnsi="Arial" w:cs="Arial"/>
          <w:szCs w:val="20"/>
        </w:rPr>
        <w:t xml:space="preserve">, in dem er eine Unionshandlung für ungültig erklärt, entfaltet eine rechtliche </w:t>
      </w:r>
      <w:r w:rsidRPr="003A5280">
        <w:rPr>
          <w:rFonts w:ascii="Arial" w:hAnsi="Arial" w:cs="Arial"/>
          <w:szCs w:val="20"/>
          <w:u w:val="single"/>
        </w:rPr>
        <w:t>allgemeine Bindungswirkung</w:t>
      </w:r>
      <w:r w:rsidRPr="00D80053">
        <w:rPr>
          <w:rFonts w:ascii="Arial" w:hAnsi="Arial" w:cs="Arial"/>
          <w:szCs w:val="20"/>
        </w:rPr>
        <w:t>.</w:t>
      </w:r>
      <w:r>
        <w:rPr>
          <w:rStyle w:val="Funotenzeichen"/>
          <w:rFonts w:ascii="Arial" w:hAnsi="Arial" w:cs="Arial"/>
          <w:szCs w:val="20"/>
        </w:rPr>
        <w:footnoteReference w:id="14"/>
      </w:r>
      <w:r w:rsidR="006B7255">
        <w:rPr>
          <w:rFonts w:ascii="Arial" w:hAnsi="Arial" w:cs="Arial"/>
          <w:szCs w:val="20"/>
        </w:rPr>
        <w:t xml:space="preserve"> </w:t>
      </w:r>
    </w:p>
    <w:p w14:paraId="44D86131" w14:textId="3C156580" w:rsidR="004D1B83" w:rsidRDefault="004D1B83" w:rsidP="004D1B83">
      <w:pPr>
        <w:rPr>
          <w:rFonts w:ascii="Arial" w:hAnsi="Arial" w:cs="Arial"/>
          <w:szCs w:val="20"/>
        </w:rPr>
      </w:pPr>
    </w:p>
    <w:p w14:paraId="082508FB" w14:textId="7939C730" w:rsidR="004D1B83" w:rsidRDefault="004D1B83" w:rsidP="004D1B83">
      <w:pPr>
        <w:rPr>
          <w:rFonts w:ascii="Arial" w:hAnsi="Arial" w:cs="Arial"/>
          <w:szCs w:val="20"/>
        </w:rPr>
      </w:pPr>
      <w:r>
        <w:rPr>
          <w:rFonts w:ascii="Arial" w:hAnsi="Arial" w:cs="Arial"/>
          <w:b/>
          <w:szCs w:val="20"/>
        </w:rPr>
        <w:t xml:space="preserve">3. Konsequenzen für die Verwaltung </w:t>
      </w:r>
    </w:p>
    <w:p w14:paraId="0FD64C12" w14:textId="2D3B8170" w:rsidR="004D1B83" w:rsidRPr="00987085" w:rsidRDefault="006B7255" w:rsidP="004D1B83">
      <w:pPr>
        <w:rPr>
          <w:rFonts w:ascii="Arial" w:hAnsi="Arial" w:cs="Arial"/>
          <w:szCs w:val="20"/>
        </w:rPr>
      </w:pPr>
      <w:r w:rsidRPr="006B7255">
        <w:rPr>
          <w:rFonts w:ascii="Arial" w:hAnsi="Arial" w:cs="Arial"/>
          <w:szCs w:val="20"/>
          <w:u w:val="single"/>
        </w:rPr>
        <w:t xml:space="preserve">Die </w:t>
      </w:r>
      <w:proofErr w:type="spellStart"/>
      <w:r w:rsidRPr="006B7255">
        <w:rPr>
          <w:rFonts w:ascii="Arial" w:hAnsi="Arial" w:cs="Arial"/>
          <w:szCs w:val="20"/>
          <w:u w:val="single"/>
        </w:rPr>
        <w:t>Ungültigerklärung</w:t>
      </w:r>
      <w:proofErr w:type="spellEnd"/>
      <w:r w:rsidRPr="006B7255">
        <w:rPr>
          <w:rFonts w:ascii="Arial" w:hAnsi="Arial" w:cs="Arial"/>
          <w:szCs w:val="20"/>
          <w:u w:val="single"/>
        </w:rPr>
        <w:t xml:space="preserve"> </w:t>
      </w:r>
      <w:proofErr w:type="gramStart"/>
      <w:r w:rsidRPr="006B7255">
        <w:rPr>
          <w:rFonts w:ascii="Arial" w:hAnsi="Arial" w:cs="Arial"/>
          <w:szCs w:val="20"/>
          <w:u w:val="single"/>
        </w:rPr>
        <w:t>des EuGH</w:t>
      </w:r>
      <w:proofErr w:type="gramEnd"/>
      <w:r w:rsidRPr="006B7255">
        <w:rPr>
          <w:rFonts w:ascii="Arial" w:hAnsi="Arial" w:cs="Arial"/>
          <w:szCs w:val="20"/>
          <w:u w:val="single"/>
        </w:rPr>
        <w:t xml:space="preserve"> bindet nicht nur alle Unionsorgane</w:t>
      </w:r>
      <w:r>
        <w:rPr>
          <w:rFonts w:ascii="Arial" w:hAnsi="Arial" w:cs="Arial"/>
          <w:szCs w:val="20"/>
          <w:u w:val="single"/>
        </w:rPr>
        <w:t>, sondern auch</w:t>
      </w:r>
      <w:r w:rsidRPr="006B7255">
        <w:rPr>
          <w:rFonts w:ascii="Arial" w:hAnsi="Arial" w:cs="Arial"/>
          <w:szCs w:val="20"/>
          <w:u w:val="single"/>
        </w:rPr>
        <w:t xml:space="preserve"> </w:t>
      </w:r>
      <w:r>
        <w:rPr>
          <w:rFonts w:ascii="Arial" w:hAnsi="Arial" w:cs="Arial"/>
          <w:szCs w:val="20"/>
          <w:u w:val="single"/>
        </w:rPr>
        <w:t>die</w:t>
      </w:r>
      <w:r w:rsidRPr="006B7255">
        <w:rPr>
          <w:rFonts w:ascii="Arial" w:hAnsi="Arial" w:cs="Arial"/>
          <w:szCs w:val="20"/>
          <w:u w:val="single"/>
        </w:rPr>
        <w:t xml:space="preserve"> nationalen Rechtsanwender und gilt rückwirkend (ex </w:t>
      </w:r>
      <w:proofErr w:type="spellStart"/>
      <w:r w:rsidRPr="006B7255">
        <w:rPr>
          <w:rFonts w:ascii="Arial" w:hAnsi="Arial" w:cs="Arial"/>
          <w:szCs w:val="20"/>
          <w:u w:val="single"/>
        </w:rPr>
        <w:t>tunc</w:t>
      </w:r>
      <w:proofErr w:type="spellEnd"/>
      <w:r w:rsidRPr="006B7255">
        <w:rPr>
          <w:rFonts w:ascii="Arial" w:hAnsi="Arial" w:cs="Arial"/>
          <w:szCs w:val="20"/>
          <w:u w:val="single"/>
        </w:rPr>
        <w:t>)</w:t>
      </w:r>
      <w:r>
        <w:rPr>
          <w:rFonts w:ascii="Arial" w:hAnsi="Arial" w:cs="Arial"/>
          <w:szCs w:val="20"/>
          <w:u w:val="single"/>
        </w:rPr>
        <w:t>.</w:t>
      </w:r>
      <w:r>
        <w:rPr>
          <w:rStyle w:val="Funotenzeichen"/>
          <w:rFonts w:ascii="Arial" w:hAnsi="Arial" w:cs="Arial"/>
          <w:szCs w:val="20"/>
          <w:u w:val="single"/>
        </w:rPr>
        <w:footnoteReference w:id="15"/>
      </w:r>
      <w:r>
        <w:rPr>
          <w:rFonts w:ascii="Arial" w:hAnsi="Arial" w:cs="Arial"/>
          <w:szCs w:val="20"/>
          <w:u w:val="single"/>
        </w:rPr>
        <w:t xml:space="preserve"> </w:t>
      </w:r>
      <w:r w:rsidR="004D1B83" w:rsidRPr="00B42206">
        <w:rPr>
          <w:rFonts w:ascii="Arial" w:hAnsi="Arial" w:cs="Arial"/>
          <w:szCs w:val="20"/>
          <w:u w:val="single"/>
        </w:rPr>
        <w:t xml:space="preserve">Sämtliche Stellen sind danach verpflichtet, die durch die </w:t>
      </w:r>
      <w:r w:rsidR="004D1B83">
        <w:rPr>
          <w:rFonts w:ascii="Arial" w:hAnsi="Arial" w:cs="Arial"/>
          <w:szCs w:val="20"/>
          <w:u w:val="single"/>
        </w:rPr>
        <w:t xml:space="preserve">5. </w:t>
      </w:r>
      <w:r w:rsidR="004D1B83" w:rsidRPr="00B42206">
        <w:rPr>
          <w:rFonts w:ascii="Arial" w:hAnsi="Arial" w:cs="Arial"/>
          <w:szCs w:val="20"/>
          <w:u w:val="single"/>
        </w:rPr>
        <w:t>GWRL 2018 bewirkte Abschaffung der Zugangsschranke in Art. 30 als von Anfang an ungültig anzusehen</w:t>
      </w:r>
      <w:r w:rsidR="004D1B83" w:rsidRPr="00987085">
        <w:rPr>
          <w:rFonts w:ascii="Arial" w:hAnsi="Arial" w:cs="Arial"/>
          <w:szCs w:val="20"/>
        </w:rPr>
        <w:t xml:space="preserve">. Maßgeblich ist daher wieder Art. 30 Abs. 5 </w:t>
      </w:r>
      <w:proofErr w:type="spellStart"/>
      <w:r w:rsidR="004D1B83" w:rsidRPr="00987085">
        <w:rPr>
          <w:rFonts w:ascii="Arial" w:hAnsi="Arial" w:cs="Arial"/>
          <w:szCs w:val="20"/>
        </w:rPr>
        <w:t>UAbs</w:t>
      </w:r>
      <w:proofErr w:type="spellEnd"/>
      <w:r w:rsidR="004D1B83" w:rsidRPr="00987085">
        <w:rPr>
          <w:rFonts w:ascii="Arial" w:hAnsi="Arial" w:cs="Arial"/>
          <w:szCs w:val="20"/>
        </w:rPr>
        <w:t xml:space="preserve">. 1 </w:t>
      </w:r>
      <w:proofErr w:type="spellStart"/>
      <w:r w:rsidR="004D1B83" w:rsidRPr="00987085">
        <w:rPr>
          <w:rFonts w:ascii="Arial" w:hAnsi="Arial" w:cs="Arial"/>
          <w:szCs w:val="20"/>
        </w:rPr>
        <w:t>lit</w:t>
      </w:r>
      <w:proofErr w:type="spellEnd"/>
      <w:r w:rsidR="004D1B83" w:rsidRPr="00987085">
        <w:rPr>
          <w:rFonts w:ascii="Arial" w:hAnsi="Arial" w:cs="Arial"/>
          <w:szCs w:val="20"/>
        </w:rPr>
        <w:t xml:space="preserve">. c) in der Fassung der </w:t>
      </w:r>
      <w:r w:rsidR="004D1B83">
        <w:rPr>
          <w:rFonts w:ascii="Arial" w:hAnsi="Arial" w:cs="Arial"/>
          <w:szCs w:val="20"/>
        </w:rPr>
        <w:t xml:space="preserve">4. </w:t>
      </w:r>
      <w:r w:rsidR="004D1B83" w:rsidRPr="00987085">
        <w:rPr>
          <w:rFonts w:ascii="Arial" w:hAnsi="Arial" w:cs="Arial"/>
          <w:szCs w:val="20"/>
        </w:rPr>
        <w:t>GWRL 2015, der noch ein „berechtigtes Interesse“ vorsieht.</w:t>
      </w:r>
      <w:r w:rsidR="004D1B83" w:rsidRPr="00987085">
        <w:rPr>
          <w:rStyle w:val="Funotenzeichen"/>
          <w:rFonts w:ascii="Arial" w:hAnsi="Arial" w:cs="Arial"/>
          <w:szCs w:val="20"/>
        </w:rPr>
        <w:footnoteReference w:id="16"/>
      </w:r>
      <w:r w:rsidR="004D1B83" w:rsidRPr="00987085">
        <w:rPr>
          <w:rFonts w:ascii="Arial" w:hAnsi="Arial" w:cs="Arial"/>
          <w:szCs w:val="20"/>
        </w:rPr>
        <w:t xml:space="preserve"> Die registerführende Stelle als nationaler Rechtsanwender darf sich </w:t>
      </w:r>
      <w:r w:rsidR="004D1B83" w:rsidRPr="00BB1384">
        <w:rPr>
          <w:rFonts w:ascii="Arial" w:hAnsi="Arial" w:cs="Arial"/>
          <w:szCs w:val="20"/>
          <w:u w:val="single"/>
        </w:rPr>
        <w:t>nicht</w:t>
      </w:r>
      <w:r w:rsidR="004D1B83" w:rsidRPr="00987085">
        <w:rPr>
          <w:rFonts w:ascii="Arial" w:hAnsi="Arial" w:cs="Arial"/>
          <w:szCs w:val="20"/>
        </w:rPr>
        <w:t xml:space="preserve"> über die Vorgaben </w:t>
      </w:r>
      <w:proofErr w:type="gramStart"/>
      <w:r w:rsidR="004D1B83" w:rsidRPr="00987085">
        <w:rPr>
          <w:rFonts w:ascii="Arial" w:hAnsi="Arial" w:cs="Arial"/>
          <w:szCs w:val="20"/>
        </w:rPr>
        <w:t>des EuGH</w:t>
      </w:r>
      <w:proofErr w:type="gramEnd"/>
      <w:r w:rsidR="004D1B83" w:rsidRPr="00987085">
        <w:rPr>
          <w:rFonts w:ascii="Arial" w:hAnsi="Arial" w:cs="Arial"/>
          <w:szCs w:val="20"/>
        </w:rPr>
        <w:t xml:space="preserve"> hinwegsetzen. Vielmehr ist sie als Teil der Exekutive an Recht und Gesetz gebunden. Das ergibt sich bereits aus dem verfassungsrechtlichen Rechtsstaatsprinzip (Art. 20 Abs. 3 GG). Politische Erwägungen spielen dabei keine Rolle.</w:t>
      </w:r>
    </w:p>
    <w:p w14:paraId="2B30FB93" w14:textId="74CFDE78" w:rsidR="004D1B83" w:rsidRDefault="004D1B83" w:rsidP="004D1B83">
      <w:pPr>
        <w:rPr>
          <w:rFonts w:ascii="Arial" w:hAnsi="Arial" w:cs="Arial"/>
          <w:szCs w:val="20"/>
        </w:rPr>
      </w:pPr>
      <w:r w:rsidRPr="00987085">
        <w:rPr>
          <w:rFonts w:ascii="Arial" w:hAnsi="Arial" w:cs="Arial"/>
          <w:szCs w:val="20"/>
        </w:rPr>
        <w:t>Das</w:t>
      </w:r>
      <w:r w:rsidR="00BB1384">
        <w:rPr>
          <w:rFonts w:ascii="Arial" w:hAnsi="Arial" w:cs="Arial"/>
          <w:szCs w:val="20"/>
        </w:rPr>
        <w:t xml:space="preserve"> </w:t>
      </w:r>
      <w:r w:rsidR="00BB1384" w:rsidRPr="00BB1384">
        <w:rPr>
          <w:rFonts w:ascii="Arial" w:hAnsi="Arial" w:cs="Arial"/>
          <w:szCs w:val="20"/>
          <w:u w:val="single"/>
        </w:rPr>
        <w:t>Recht auf Einsichtnahme</w:t>
      </w:r>
      <w:r w:rsidRPr="00987085">
        <w:rPr>
          <w:rFonts w:ascii="Arial" w:hAnsi="Arial" w:cs="Arial"/>
          <w:szCs w:val="20"/>
        </w:rPr>
        <w:t xml:space="preserve"> </w:t>
      </w:r>
      <w:r>
        <w:rPr>
          <w:rFonts w:ascii="Arial" w:hAnsi="Arial" w:cs="Arial"/>
          <w:szCs w:val="20"/>
        </w:rPr>
        <w:t xml:space="preserve">in DEU </w:t>
      </w:r>
      <w:r w:rsidRPr="00987085">
        <w:rPr>
          <w:rFonts w:ascii="Arial" w:hAnsi="Arial" w:cs="Arial"/>
          <w:szCs w:val="20"/>
        </w:rPr>
        <w:t>nach § 23</w:t>
      </w:r>
      <w:r w:rsidRPr="000F46E3">
        <w:rPr>
          <w:rFonts w:ascii="Arial" w:hAnsi="Arial" w:cs="Arial"/>
          <w:szCs w:val="20"/>
        </w:rPr>
        <w:t xml:space="preserve"> Abs. 1 S. 1 Nr. 3 GwG</w:t>
      </w:r>
      <w:r>
        <w:rPr>
          <w:rFonts w:ascii="Arial" w:hAnsi="Arial" w:cs="Arial"/>
          <w:szCs w:val="20"/>
        </w:rPr>
        <w:t xml:space="preserve"> – das aktuell </w:t>
      </w:r>
      <w:r w:rsidRPr="008512C7">
        <w:rPr>
          <w:rFonts w:ascii="Arial" w:hAnsi="Arial" w:cs="Arial"/>
          <w:szCs w:val="20"/>
          <w:u w:val="single"/>
        </w:rPr>
        <w:t>keine</w:t>
      </w:r>
      <w:r>
        <w:rPr>
          <w:rFonts w:ascii="Arial" w:hAnsi="Arial" w:cs="Arial"/>
          <w:szCs w:val="20"/>
        </w:rPr>
        <w:t xml:space="preserve"> </w:t>
      </w:r>
      <w:r w:rsidRPr="00BB1384">
        <w:rPr>
          <w:rFonts w:ascii="Arial" w:hAnsi="Arial" w:cs="Arial"/>
          <w:szCs w:val="20"/>
          <w:u w:val="single"/>
        </w:rPr>
        <w:t xml:space="preserve">Zugangsschranke </w:t>
      </w:r>
      <w:r>
        <w:rPr>
          <w:rFonts w:ascii="Arial" w:hAnsi="Arial" w:cs="Arial"/>
          <w:szCs w:val="20"/>
        </w:rPr>
        <w:t xml:space="preserve">vorsieht – ist daher </w:t>
      </w:r>
      <w:r w:rsidRPr="00BB1384">
        <w:rPr>
          <w:rFonts w:ascii="Arial" w:hAnsi="Arial" w:cs="Arial"/>
          <w:szCs w:val="20"/>
          <w:u w:val="single"/>
        </w:rPr>
        <w:t>unionsrechtskonform zu beschränken</w:t>
      </w:r>
      <w:r w:rsidRPr="000F46E3">
        <w:rPr>
          <w:rFonts w:ascii="Arial" w:hAnsi="Arial" w:cs="Arial"/>
          <w:szCs w:val="20"/>
        </w:rPr>
        <w:t xml:space="preserve">, um die Rechte Dritter nicht zu verletzen. Mitgliedern der Öffentlichkeit wird </w:t>
      </w:r>
      <w:r>
        <w:rPr>
          <w:rFonts w:ascii="Arial" w:hAnsi="Arial" w:cs="Arial"/>
          <w:szCs w:val="20"/>
        </w:rPr>
        <w:t xml:space="preserve">folglich </w:t>
      </w:r>
      <w:r w:rsidRPr="000F46E3">
        <w:rPr>
          <w:rFonts w:ascii="Arial" w:hAnsi="Arial" w:cs="Arial"/>
          <w:szCs w:val="20"/>
        </w:rPr>
        <w:t xml:space="preserve">eine eingeschränkte Einsicht gewährt, </w:t>
      </w:r>
      <w:r w:rsidRPr="00987085">
        <w:rPr>
          <w:rFonts w:ascii="Arial" w:hAnsi="Arial" w:cs="Arial"/>
          <w:szCs w:val="20"/>
        </w:rPr>
        <w:t>sofern sie ein berechtigtes Interesse an der Einsichtnahme darlegen</w:t>
      </w:r>
      <w:r w:rsidRPr="00987085">
        <w:rPr>
          <w:rStyle w:val="Funotenzeichen"/>
          <w:rFonts w:ascii="Arial" w:hAnsi="Arial" w:cs="Arial"/>
          <w:szCs w:val="20"/>
        </w:rPr>
        <w:footnoteReference w:id="17"/>
      </w:r>
      <w:r w:rsidRPr="00987085">
        <w:rPr>
          <w:rFonts w:ascii="Arial" w:hAnsi="Arial" w:cs="Arial"/>
          <w:szCs w:val="20"/>
        </w:rPr>
        <w:t>.</w:t>
      </w:r>
    </w:p>
    <w:p w14:paraId="112FF040" w14:textId="77777777" w:rsidR="004D1B83" w:rsidRDefault="004D1B83" w:rsidP="004D1B83">
      <w:pPr>
        <w:rPr>
          <w:rFonts w:ascii="Arial" w:hAnsi="Arial" w:cs="Arial"/>
          <w:szCs w:val="20"/>
        </w:rPr>
      </w:pPr>
      <w:r w:rsidRPr="00987085">
        <w:rPr>
          <w:rFonts w:ascii="Arial" w:hAnsi="Arial" w:cs="Arial"/>
          <w:szCs w:val="20"/>
        </w:rPr>
        <w:t xml:space="preserve">Der EuGH hat in seinem Urteil ausgeführt, dass sowohl die </w:t>
      </w:r>
      <w:r w:rsidRPr="00694299">
        <w:rPr>
          <w:rFonts w:ascii="Arial" w:hAnsi="Arial" w:cs="Arial"/>
          <w:szCs w:val="20"/>
          <w:u w:val="single"/>
        </w:rPr>
        <w:t>Presse</w:t>
      </w:r>
      <w:r w:rsidRPr="00987085">
        <w:rPr>
          <w:rFonts w:ascii="Arial" w:hAnsi="Arial" w:cs="Arial"/>
          <w:szCs w:val="20"/>
        </w:rPr>
        <w:t xml:space="preserve"> als auch </w:t>
      </w:r>
      <w:r w:rsidRPr="00694299">
        <w:rPr>
          <w:rFonts w:ascii="Arial" w:hAnsi="Arial" w:cs="Arial"/>
          <w:szCs w:val="20"/>
          <w:u w:val="single"/>
        </w:rPr>
        <w:t>zivilgesellschaftliche Organisationen</w:t>
      </w:r>
      <w:r w:rsidRPr="00987085">
        <w:rPr>
          <w:rFonts w:ascii="Arial" w:hAnsi="Arial" w:cs="Arial"/>
          <w:szCs w:val="20"/>
        </w:rPr>
        <w:t>, die einen Bezug zur Verhütung und zur Bekämpfung der Geldwäsche und der Terrorismusfinanzierung aufweisen, ein berechtigtes Interesse haben</w:t>
      </w:r>
      <w:r>
        <w:rPr>
          <w:rFonts w:ascii="Arial" w:hAnsi="Arial" w:cs="Arial"/>
          <w:szCs w:val="20"/>
        </w:rPr>
        <w:t>.</w:t>
      </w:r>
      <w:r w:rsidRPr="00987085">
        <w:rPr>
          <w:rStyle w:val="Funotenzeichen"/>
          <w:rFonts w:ascii="Arial" w:hAnsi="Arial" w:cs="Arial"/>
          <w:szCs w:val="20"/>
        </w:rPr>
        <w:footnoteReference w:id="18"/>
      </w:r>
      <w:r w:rsidRPr="00987085">
        <w:rPr>
          <w:rFonts w:ascii="Arial" w:hAnsi="Arial" w:cs="Arial"/>
          <w:szCs w:val="20"/>
        </w:rPr>
        <w:t xml:space="preserve"> </w:t>
      </w:r>
      <w:r>
        <w:rPr>
          <w:rFonts w:ascii="Arial" w:hAnsi="Arial" w:cs="Arial"/>
          <w:szCs w:val="20"/>
        </w:rPr>
        <w:t>Dies wäre</w:t>
      </w:r>
      <w:r w:rsidRPr="00987085">
        <w:rPr>
          <w:rFonts w:ascii="Arial" w:hAnsi="Arial" w:cs="Arial"/>
          <w:szCs w:val="20"/>
        </w:rPr>
        <w:t xml:space="preserve"> bei Journalisten und NGOs </w:t>
      </w:r>
      <w:r>
        <w:rPr>
          <w:rFonts w:ascii="Arial" w:hAnsi="Arial" w:cs="Arial"/>
          <w:szCs w:val="20"/>
        </w:rPr>
        <w:t>beispielsweise bei</w:t>
      </w:r>
      <w:r w:rsidRPr="00987085">
        <w:rPr>
          <w:rFonts w:ascii="Arial" w:hAnsi="Arial" w:cs="Arial"/>
          <w:szCs w:val="20"/>
        </w:rPr>
        <w:t xml:space="preserve"> Recherchen</w:t>
      </w:r>
      <w:r>
        <w:rPr>
          <w:rFonts w:ascii="Arial" w:hAnsi="Arial" w:cs="Arial"/>
          <w:szCs w:val="20"/>
        </w:rPr>
        <w:t xml:space="preserve"> der Fall</w:t>
      </w:r>
      <w:r w:rsidRPr="00987085">
        <w:rPr>
          <w:rStyle w:val="Funotenzeichen"/>
          <w:rFonts w:ascii="Arial" w:hAnsi="Arial" w:cs="Arial"/>
          <w:szCs w:val="20"/>
        </w:rPr>
        <w:footnoteReference w:id="19"/>
      </w:r>
      <w:r w:rsidRPr="00987085">
        <w:rPr>
          <w:rFonts w:ascii="Arial" w:hAnsi="Arial" w:cs="Arial"/>
          <w:szCs w:val="20"/>
        </w:rPr>
        <w:t>.</w:t>
      </w:r>
      <w:r>
        <w:rPr>
          <w:rFonts w:ascii="Arial" w:hAnsi="Arial" w:cs="Arial"/>
          <w:szCs w:val="20"/>
        </w:rPr>
        <w:t xml:space="preserve"> </w:t>
      </w:r>
      <w:r w:rsidRPr="00987085">
        <w:rPr>
          <w:rFonts w:ascii="Arial" w:hAnsi="Arial" w:cs="Arial"/>
          <w:szCs w:val="20"/>
        </w:rPr>
        <w:t>Laut EuGH-Urteil verfügen auch solche Personen über ein berechtigtes Interesse, die die Identität der wirtschaftlichen Eigentümer einer Gesellschaft oder einer anderen juristischen Person in Erfahrung bringen möchten, da sie mit dieser Geschäfte abschließen könnten.</w:t>
      </w:r>
      <w:r>
        <w:rPr>
          <w:rStyle w:val="Funotenzeichen"/>
          <w:rFonts w:ascii="Arial" w:hAnsi="Arial" w:cs="Arial"/>
          <w:szCs w:val="20"/>
        </w:rPr>
        <w:footnoteReference w:id="20"/>
      </w:r>
      <w:r w:rsidRPr="00987085">
        <w:rPr>
          <w:rFonts w:ascii="Arial" w:hAnsi="Arial" w:cs="Arial"/>
          <w:szCs w:val="20"/>
        </w:rPr>
        <w:t xml:space="preserve"> Damit können auch </w:t>
      </w:r>
      <w:r w:rsidRPr="00694299">
        <w:rPr>
          <w:rFonts w:ascii="Arial" w:hAnsi="Arial" w:cs="Arial"/>
          <w:szCs w:val="20"/>
          <w:u w:val="single"/>
        </w:rPr>
        <w:t>potentielle Geschäftspartner</w:t>
      </w:r>
      <w:r w:rsidRPr="00987085">
        <w:rPr>
          <w:rFonts w:ascii="Arial" w:hAnsi="Arial" w:cs="Arial"/>
          <w:szCs w:val="20"/>
        </w:rPr>
        <w:t xml:space="preserve"> ein berechtigtes Interesse haben. </w:t>
      </w:r>
      <w:r w:rsidRPr="00694299">
        <w:rPr>
          <w:rFonts w:ascii="Arial" w:hAnsi="Arial" w:cs="Arial"/>
          <w:szCs w:val="20"/>
        </w:rPr>
        <w:t>Ein berechtigtes Interesse liegt insbesondere auch dann vor, wenn die eigenen Angaben der Eintragung überprüft werden sollen</w:t>
      </w:r>
      <w:r>
        <w:rPr>
          <w:rFonts w:ascii="Arial" w:hAnsi="Arial" w:cs="Arial"/>
          <w:szCs w:val="20"/>
        </w:rPr>
        <w:t xml:space="preserve">, </w:t>
      </w:r>
      <w:r w:rsidRPr="00694299">
        <w:rPr>
          <w:rFonts w:ascii="Arial" w:hAnsi="Arial" w:cs="Arial"/>
          <w:szCs w:val="20"/>
        </w:rPr>
        <w:t xml:space="preserve">sog. </w:t>
      </w:r>
      <w:r w:rsidRPr="00694299">
        <w:rPr>
          <w:rFonts w:ascii="Arial" w:hAnsi="Arial" w:cs="Arial"/>
          <w:szCs w:val="20"/>
          <w:u w:val="single"/>
        </w:rPr>
        <w:t>Selbstauskunft</w:t>
      </w:r>
      <w:r w:rsidRPr="00694299">
        <w:rPr>
          <w:rFonts w:ascii="Arial" w:hAnsi="Arial" w:cs="Arial"/>
          <w:szCs w:val="20"/>
        </w:rPr>
        <w:t>.</w:t>
      </w:r>
      <w:r>
        <w:rPr>
          <w:rStyle w:val="Funotenzeichen"/>
          <w:rFonts w:ascii="Arial" w:hAnsi="Arial" w:cs="Arial"/>
          <w:szCs w:val="20"/>
        </w:rPr>
        <w:footnoteReference w:id="21"/>
      </w:r>
    </w:p>
    <w:p w14:paraId="7720836A" w14:textId="77777777" w:rsidR="004D1B83" w:rsidRDefault="004D1B83" w:rsidP="004D1B83">
      <w:pPr>
        <w:rPr>
          <w:rFonts w:ascii="Arial" w:hAnsi="Arial" w:cs="Arial"/>
          <w:szCs w:val="20"/>
        </w:rPr>
      </w:pPr>
      <w:r>
        <w:rPr>
          <w:rFonts w:ascii="Arial" w:hAnsi="Arial" w:cs="Arial"/>
          <w:szCs w:val="20"/>
        </w:rPr>
        <w:t xml:space="preserve">Bei den vorgenannten und auch </w:t>
      </w:r>
      <w:r w:rsidRPr="00964177">
        <w:rPr>
          <w:rFonts w:ascii="Arial" w:hAnsi="Arial" w:cs="Arial"/>
          <w:szCs w:val="20"/>
          <w:u w:val="single"/>
        </w:rPr>
        <w:t>sonstigen Gruppen</w:t>
      </w:r>
      <w:r w:rsidRPr="00987085">
        <w:rPr>
          <w:rFonts w:ascii="Arial" w:hAnsi="Arial" w:cs="Arial"/>
          <w:szCs w:val="20"/>
        </w:rPr>
        <w:t xml:space="preserve"> müsste sich die registerführende Stelle an die allgemeine Vorgabe des EuGH halten, dass die Zugangsöffnung auf das Notwendige beschränkt</w:t>
      </w:r>
      <w:r>
        <w:rPr>
          <w:rFonts w:ascii="Arial" w:hAnsi="Arial" w:cs="Arial"/>
          <w:szCs w:val="20"/>
        </w:rPr>
        <w:t xml:space="preserve"> und angemessen ist.</w:t>
      </w:r>
      <w:r>
        <w:rPr>
          <w:rStyle w:val="Funotenzeichen"/>
          <w:rFonts w:ascii="Arial" w:hAnsi="Arial" w:cs="Arial"/>
          <w:szCs w:val="20"/>
        </w:rPr>
        <w:footnoteReference w:id="22"/>
      </w:r>
      <w:r>
        <w:rPr>
          <w:rFonts w:ascii="Arial" w:hAnsi="Arial" w:cs="Arial"/>
          <w:szCs w:val="20"/>
        </w:rPr>
        <w:t xml:space="preserve"> Das nationale Recht in DEU ermöglicht ein </w:t>
      </w:r>
      <w:r w:rsidRPr="00964177">
        <w:rPr>
          <w:rFonts w:ascii="Arial" w:hAnsi="Arial" w:cs="Arial"/>
          <w:szCs w:val="20"/>
          <w:u w:val="single"/>
        </w:rPr>
        <w:t>weites Verständnis</w:t>
      </w:r>
      <w:r>
        <w:rPr>
          <w:rFonts w:ascii="Arial" w:hAnsi="Arial" w:cs="Arial"/>
          <w:szCs w:val="20"/>
        </w:rPr>
        <w:t xml:space="preserve"> des berechtigten Interesses.</w:t>
      </w:r>
      <w:r>
        <w:rPr>
          <w:rStyle w:val="Funotenzeichen"/>
          <w:rFonts w:ascii="Arial" w:hAnsi="Arial" w:cs="Arial"/>
          <w:szCs w:val="20"/>
        </w:rPr>
        <w:footnoteReference w:id="23"/>
      </w:r>
    </w:p>
    <w:p w14:paraId="355E743E" w14:textId="7C56F8FB" w:rsidR="004D1B83" w:rsidRPr="00F12360" w:rsidRDefault="004D1B83" w:rsidP="004D1B83">
      <w:pPr>
        <w:spacing w:after="0" w:line="240" w:lineRule="auto"/>
        <w:rPr>
          <w:rFonts w:ascii="Arial" w:hAnsi="Arial" w:cs="Arial"/>
          <w:sz w:val="24"/>
          <w:szCs w:val="24"/>
          <w:u w:val="single"/>
          <w:lang w:eastAsia="de-DE"/>
        </w:rPr>
      </w:pPr>
      <w:r w:rsidRPr="00F12360">
        <w:rPr>
          <w:rFonts w:ascii="Arial" w:hAnsi="Arial" w:cs="Arial"/>
          <w:szCs w:val="20"/>
          <w:u w:val="single"/>
        </w:rPr>
        <w:t>Für das deutsche Transparenzregister gilt, dass der nach EITI Standard beauftragte Unabhängige Verwalter (UV) immer ein berechtigtes Interesse für die Einsichtnahme in das Transparenzregister hat.</w:t>
      </w:r>
      <w:r w:rsidRPr="00F12360">
        <w:rPr>
          <w:rFonts w:ascii="Times New Roman" w:hAnsi="Times New Roman" w:cs="Times New Roman"/>
          <w:sz w:val="24"/>
          <w:szCs w:val="24"/>
          <w:u w:val="single"/>
          <w:lang w:eastAsia="de-DE"/>
        </w:rPr>
        <w:t xml:space="preserve"> </w:t>
      </w:r>
      <w:r w:rsidR="00F12360" w:rsidRPr="00F12360">
        <w:rPr>
          <w:rFonts w:ascii="Arial" w:hAnsi="Arial" w:cs="Arial"/>
          <w:u w:val="single"/>
          <w:lang w:eastAsia="de-DE"/>
        </w:rPr>
        <w:t>Dies wurde auf Anfrage des BMWK</w:t>
      </w:r>
      <w:r w:rsidR="00BB1384">
        <w:rPr>
          <w:rFonts w:ascii="Arial" w:hAnsi="Arial" w:cs="Arial"/>
          <w:u w:val="single"/>
          <w:lang w:eastAsia="de-DE"/>
        </w:rPr>
        <w:t>/BMF</w:t>
      </w:r>
      <w:r w:rsidR="00F12360" w:rsidRPr="00F12360">
        <w:rPr>
          <w:rFonts w:ascii="Arial" w:hAnsi="Arial" w:cs="Arial"/>
          <w:u w:val="single"/>
          <w:lang w:eastAsia="de-DE"/>
        </w:rPr>
        <w:t xml:space="preserve"> im Rahmen der Arbeiten für den 5. D-EITI Bericht von den zuständigen Stellen bestätigt.</w:t>
      </w:r>
    </w:p>
    <w:p w14:paraId="1BE3AB08" w14:textId="6A450582" w:rsidR="004D1B83" w:rsidRDefault="004D1B83" w:rsidP="004D1B83">
      <w:pPr>
        <w:rPr>
          <w:rFonts w:ascii="Arial" w:hAnsi="Arial" w:cs="Arial"/>
          <w:szCs w:val="20"/>
        </w:rPr>
      </w:pPr>
    </w:p>
    <w:p w14:paraId="643C959A" w14:textId="3E1131BF" w:rsidR="004D1B83" w:rsidRPr="003864B7" w:rsidRDefault="004D1B83" w:rsidP="004D1B83">
      <w:pPr>
        <w:rPr>
          <w:rFonts w:ascii="Arial" w:hAnsi="Arial" w:cs="Arial"/>
          <w:b/>
          <w:szCs w:val="20"/>
        </w:rPr>
      </w:pPr>
      <w:r>
        <w:rPr>
          <w:rFonts w:ascii="Arial" w:hAnsi="Arial" w:cs="Arial"/>
          <w:b/>
          <w:szCs w:val="20"/>
        </w:rPr>
        <w:t>4. Konsequenzen für den Gesetzgeber</w:t>
      </w:r>
    </w:p>
    <w:p w14:paraId="03442292" w14:textId="1F5C0544" w:rsidR="004D1B83" w:rsidRDefault="004D1B83" w:rsidP="004D1B83">
      <w:pPr>
        <w:rPr>
          <w:rFonts w:ascii="Arial" w:hAnsi="Arial" w:cs="Arial"/>
          <w:szCs w:val="20"/>
        </w:rPr>
      </w:pPr>
      <w:r>
        <w:rPr>
          <w:rFonts w:ascii="Arial" w:hAnsi="Arial" w:cs="Arial"/>
          <w:szCs w:val="20"/>
        </w:rPr>
        <w:t xml:space="preserve">Nach Einschätzung des Wissenschaftlichen Dienstes des Deutschen Bundestages ergibt sich aus der Rechtsprechung des EuGH, dass die nationalen Gesetzgeber mit dem Unionsrecht </w:t>
      </w:r>
      <w:r w:rsidRPr="008512C7">
        <w:rPr>
          <w:rFonts w:ascii="Arial" w:hAnsi="Arial" w:cs="Arial"/>
          <w:szCs w:val="20"/>
          <w:u w:val="single"/>
        </w:rPr>
        <w:t xml:space="preserve">unvereinbare Regelungen </w:t>
      </w:r>
      <w:r w:rsidRPr="00BB1384">
        <w:rPr>
          <w:rFonts w:ascii="Arial" w:hAnsi="Arial" w:cs="Arial"/>
          <w:szCs w:val="20"/>
          <w:u w:val="single"/>
        </w:rPr>
        <w:t>anpassen</w:t>
      </w:r>
      <w:r w:rsidR="00BB1384" w:rsidRPr="00BB1384">
        <w:rPr>
          <w:rFonts w:ascii="Arial" w:hAnsi="Arial" w:cs="Arial"/>
          <w:szCs w:val="20"/>
          <w:u w:val="single"/>
        </w:rPr>
        <w:t xml:space="preserve"> müssen</w:t>
      </w:r>
      <w:r>
        <w:rPr>
          <w:rFonts w:ascii="Arial" w:hAnsi="Arial" w:cs="Arial"/>
          <w:szCs w:val="20"/>
        </w:rPr>
        <w:t>, um Ungewissheiten hinsichtlich der maßgeblichen Rechtslage zu vermeiden</w:t>
      </w:r>
      <w:r w:rsidRPr="00694299">
        <w:rPr>
          <w:rFonts w:ascii="Arial" w:hAnsi="Arial" w:cs="Arial"/>
          <w:szCs w:val="20"/>
        </w:rPr>
        <w:t>.</w:t>
      </w:r>
      <w:r w:rsidRPr="00694299">
        <w:rPr>
          <w:rStyle w:val="Funotenzeichen"/>
          <w:rFonts w:ascii="Arial" w:hAnsi="Arial" w:cs="Arial"/>
          <w:szCs w:val="20"/>
        </w:rPr>
        <w:footnoteReference w:id="24"/>
      </w:r>
      <w:r w:rsidRPr="00694299">
        <w:rPr>
          <w:rFonts w:ascii="Arial" w:hAnsi="Arial" w:cs="Arial"/>
          <w:szCs w:val="20"/>
        </w:rPr>
        <w:t xml:space="preserve"> </w:t>
      </w:r>
      <w:r>
        <w:rPr>
          <w:rFonts w:ascii="Arial" w:hAnsi="Arial" w:cs="Arial"/>
          <w:szCs w:val="20"/>
        </w:rPr>
        <w:t>Darüber hinaus</w:t>
      </w:r>
      <w:r w:rsidRPr="00694299">
        <w:rPr>
          <w:rFonts w:ascii="Arial" w:hAnsi="Arial" w:cs="Arial"/>
          <w:szCs w:val="20"/>
        </w:rPr>
        <w:t xml:space="preserve"> liegt es laut EuGH am </w:t>
      </w:r>
      <w:r>
        <w:rPr>
          <w:rFonts w:ascii="Arial" w:hAnsi="Arial" w:cs="Arial"/>
          <w:szCs w:val="20"/>
        </w:rPr>
        <w:t xml:space="preserve">europäischen oder am nationalen </w:t>
      </w:r>
      <w:r w:rsidRPr="00694299">
        <w:rPr>
          <w:rFonts w:ascii="Arial" w:hAnsi="Arial" w:cs="Arial"/>
          <w:szCs w:val="20"/>
        </w:rPr>
        <w:t xml:space="preserve">Gesetzgeber, den </w:t>
      </w:r>
      <w:r w:rsidRPr="008512C7">
        <w:rPr>
          <w:rFonts w:ascii="Arial" w:hAnsi="Arial" w:cs="Arial"/>
          <w:szCs w:val="20"/>
          <w:u w:val="single"/>
        </w:rPr>
        <w:t>Begriff des berechtigten Interesses</w:t>
      </w:r>
      <w:r w:rsidRPr="00694299">
        <w:rPr>
          <w:rFonts w:ascii="Arial" w:hAnsi="Arial" w:cs="Arial"/>
          <w:szCs w:val="20"/>
        </w:rPr>
        <w:t xml:space="preserve"> unter Berücksichtigung der Anforderungen des Verhältnismäßigkeitsgrundsatzes und der Vorgaben der DSGVO hinreichend konkret zu </w:t>
      </w:r>
      <w:r w:rsidRPr="008512C7">
        <w:rPr>
          <w:rFonts w:ascii="Arial" w:hAnsi="Arial" w:cs="Arial"/>
          <w:szCs w:val="20"/>
          <w:u w:val="single"/>
        </w:rPr>
        <w:t>definieren</w:t>
      </w:r>
      <w:r w:rsidRPr="00694299">
        <w:rPr>
          <w:rFonts w:ascii="Arial" w:hAnsi="Arial" w:cs="Arial"/>
          <w:szCs w:val="20"/>
        </w:rPr>
        <w:t xml:space="preserve">. </w:t>
      </w:r>
      <w:r w:rsidRPr="00694299">
        <w:rPr>
          <w:rStyle w:val="Funotenzeichen"/>
          <w:rFonts w:ascii="Arial" w:hAnsi="Arial" w:cs="Arial"/>
          <w:szCs w:val="20"/>
        </w:rPr>
        <w:footnoteReference w:id="25"/>
      </w:r>
      <w:r w:rsidRPr="006641D0">
        <w:rPr>
          <w:rFonts w:ascii="Arial" w:hAnsi="Arial" w:cs="Arial"/>
          <w:szCs w:val="20"/>
        </w:rPr>
        <w:t xml:space="preserve"> </w:t>
      </w:r>
    </w:p>
    <w:p w14:paraId="67EEE48C" w14:textId="77777777" w:rsidR="004D1B83" w:rsidRPr="00694299" w:rsidRDefault="004D1B83" w:rsidP="004D1B83">
      <w:pPr>
        <w:rPr>
          <w:rFonts w:ascii="Arial" w:hAnsi="Arial" w:cs="Arial"/>
          <w:szCs w:val="20"/>
        </w:rPr>
      </w:pPr>
      <w:r>
        <w:rPr>
          <w:rFonts w:ascii="Arial" w:hAnsi="Arial" w:cs="Arial"/>
          <w:szCs w:val="20"/>
        </w:rPr>
        <w:t xml:space="preserve">Würde der nationale Gesetzgeber von den Vorgaben </w:t>
      </w:r>
      <w:proofErr w:type="gramStart"/>
      <w:r>
        <w:rPr>
          <w:rFonts w:ascii="Arial" w:hAnsi="Arial" w:cs="Arial"/>
          <w:szCs w:val="20"/>
        </w:rPr>
        <w:t>des EuGH</w:t>
      </w:r>
      <w:proofErr w:type="gramEnd"/>
      <w:r>
        <w:rPr>
          <w:rFonts w:ascii="Arial" w:hAnsi="Arial" w:cs="Arial"/>
          <w:szCs w:val="20"/>
        </w:rPr>
        <w:t xml:space="preserve"> für den Zugang zum Transparenzregister abweichen, bestünde für DEU das Risiko eines </w:t>
      </w:r>
      <w:r w:rsidRPr="00964177">
        <w:rPr>
          <w:rFonts w:ascii="Arial" w:hAnsi="Arial" w:cs="Arial"/>
          <w:szCs w:val="20"/>
        </w:rPr>
        <w:t>Vertragsverletzungsverfahrens</w:t>
      </w:r>
      <w:r>
        <w:rPr>
          <w:rFonts w:ascii="Arial" w:hAnsi="Arial" w:cs="Arial"/>
          <w:szCs w:val="20"/>
        </w:rPr>
        <w:t xml:space="preserve"> seitens der EU-KOM.  </w:t>
      </w:r>
    </w:p>
    <w:p w14:paraId="52C2C0D4" w14:textId="77777777" w:rsidR="004D1B83" w:rsidRPr="00E83134" w:rsidRDefault="004D1B83" w:rsidP="004D1B83">
      <w:pPr>
        <w:rPr>
          <w:rFonts w:ascii="Arial" w:hAnsi="Arial" w:cs="Arial"/>
          <w:i/>
          <w:szCs w:val="20"/>
          <w:highlight w:val="yellow"/>
        </w:rPr>
      </w:pPr>
      <w:r>
        <w:rPr>
          <w:rFonts w:ascii="Arial" w:hAnsi="Arial" w:cs="Arial"/>
          <w:szCs w:val="20"/>
        </w:rPr>
        <w:t>Da derzeit auf europäischer Ebene ein aus mehreren Rechtsakten bestehendes AML-Paket verhandelt wird, das auch das EuGH-Urteil aufgreifen und diesbezügliche Regelungen enthalten wird, hat der nationale Gesetzgeber bislang davon abgesehen, den kommenden europäischen Vorgaben durch eine nationale Regelung vorzugreifen. Wie die europäische Regelung aussehen wird, ist derzeit noch nicht final absehbar, da es unterschiedliche Auffassungen zwischen dem Rat der EU und dem Europäischen Parlament gibt.</w:t>
      </w:r>
    </w:p>
    <w:p w14:paraId="146C5A10" w14:textId="77777777" w:rsidR="004D1B83" w:rsidRDefault="004D1B83" w:rsidP="004D1B83">
      <w:pPr>
        <w:rPr>
          <w:rFonts w:ascii="Arial" w:hAnsi="Arial" w:cs="Arial"/>
          <w:szCs w:val="20"/>
        </w:rPr>
      </w:pPr>
      <w:r w:rsidRPr="002B52AD">
        <w:rPr>
          <w:rFonts w:ascii="Arial" w:hAnsi="Arial" w:cs="Arial"/>
          <w:szCs w:val="20"/>
        </w:rPr>
        <w:t xml:space="preserve">Ob eine modifizierte und neu begründete, erneute Öffnung des Transparenzregisters für die gesamte Öffentlichkeit mit Art. 7f </w:t>
      </w:r>
      <w:proofErr w:type="spellStart"/>
      <w:r w:rsidRPr="002B52AD">
        <w:rPr>
          <w:rFonts w:ascii="Arial" w:hAnsi="Arial" w:cs="Arial"/>
          <w:szCs w:val="20"/>
        </w:rPr>
        <w:t>GRCh</w:t>
      </w:r>
      <w:proofErr w:type="spellEnd"/>
      <w:r w:rsidRPr="002B52AD">
        <w:rPr>
          <w:rFonts w:ascii="Arial" w:hAnsi="Arial" w:cs="Arial"/>
          <w:szCs w:val="20"/>
        </w:rPr>
        <w:t xml:space="preserve"> und mit den Grundsätzen der DSGVO vereinbar wäre, könnte </w:t>
      </w:r>
      <w:r w:rsidRPr="008512C7">
        <w:rPr>
          <w:rFonts w:ascii="Arial" w:hAnsi="Arial" w:cs="Arial"/>
          <w:szCs w:val="20"/>
          <w:u w:val="single"/>
        </w:rPr>
        <w:t>abschließend nur der EuGH</w:t>
      </w:r>
      <w:r w:rsidRPr="002B52AD">
        <w:rPr>
          <w:rFonts w:ascii="Arial" w:hAnsi="Arial" w:cs="Arial"/>
          <w:szCs w:val="20"/>
        </w:rPr>
        <w:t xml:space="preserve"> prüfen. Hierfür wäre ein neues Vorabentscheidungsverfahren oder eine Nichtigkeitsklage (Art. 263 AUEV) erforderlich</w:t>
      </w:r>
      <w:r w:rsidRPr="002B52AD">
        <w:rPr>
          <w:rStyle w:val="Funotenzeichen"/>
          <w:rFonts w:ascii="Arial" w:hAnsi="Arial" w:cs="Arial"/>
          <w:szCs w:val="20"/>
        </w:rPr>
        <w:footnoteReference w:id="26"/>
      </w:r>
      <w:r w:rsidRPr="002B52AD">
        <w:rPr>
          <w:rFonts w:ascii="Arial" w:hAnsi="Arial" w:cs="Arial"/>
          <w:szCs w:val="20"/>
        </w:rPr>
        <w:t>.</w:t>
      </w:r>
    </w:p>
    <w:p w14:paraId="74F132F3" w14:textId="4E4A4EE5" w:rsidR="004D1B83" w:rsidRDefault="004D1B83" w:rsidP="004D1B83">
      <w:pPr>
        <w:rPr>
          <w:rFonts w:ascii="Arial" w:hAnsi="Arial" w:cs="Arial"/>
          <w:szCs w:val="20"/>
        </w:rPr>
      </w:pPr>
    </w:p>
    <w:p w14:paraId="037CAAB1" w14:textId="6177CA73" w:rsidR="004D1B83" w:rsidRDefault="004D1B83" w:rsidP="004D1B83">
      <w:pPr>
        <w:rPr>
          <w:rFonts w:ascii="Arial" w:hAnsi="Arial" w:cs="Arial"/>
          <w:szCs w:val="20"/>
        </w:rPr>
      </w:pPr>
      <w:r>
        <w:rPr>
          <w:rFonts w:ascii="Arial" w:hAnsi="Arial" w:cs="Arial"/>
          <w:b/>
          <w:szCs w:val="20"/>
        </w:rPr>
        <w:t>5. Keine abweichende Bewertung für den Rohstoffsektor</w:t>
      </w:r>
    </w:p>
    <w:p w14:paraId="60ACFACD" w14:textId="77777777" w:rsidR="004D1B83" w:rsidRDefault="004D1B83" w:rsidP="004D1B83">
      <w:pPr>
        <w:rPr>
          <w:rFonts w:ascii="Arial" w:hAnsi="Arial" w:cs="Arial"/>
          <w:szCs w:val="20"/>
        </w:rPr>
      </w:pPr>
      <w:r>
        <w:rPr>
          <w:rFonts w:ascii="Arial" w:hAnsi="Arial" w:cs="Arial"/>
          <w:szCs w:val="20"/>
        </w:rPr>
        <w:t>Das vom o.g. EuGH-Urteil behandelte Einsichtsrecht in das Transparenzregister erlaubt keine abweichende Bewertung im Hinblick auf den Rohstoffsektor und die von D-EITI erfassten Rohstoffe.</w:t>
      </w:r>
    </w:p>
    <w:p w14:paraId="671E74A5" w14:textId="77777777" w:rsidR="004D1B83" w:rsidRDefault="004D1B83" w:rsidP="004D1B83">
      <w:pPr>
        <w:rPr>
          <w:rFonts w:ascii="Arial" w:hAnsi="Arial" w:cs="Arial"/>
          <w:szCs w:val="20"/>
        </w:rPr>
      </w:pPr>
      <w:r w:rsidRPr="00CB1F07">
        <w:rPr>
          <w:rFonts w:ascii="Arial" w:hAnsi="Arial" w:cs="Arial"/>
          <w:szCs w:val="20"/>
        </w:rPr>
        <w:t xml:space="preserve">Weder die Europäische Grundrechtecharta, gegen die der Wegfall der Zugangsschranke verstoßen hat, noch der EuGH </w:t>
      </w:r>
      <w:r w:rsidRPr="003864B7">
        <w:rPr>
          <w:rFonts w:ascii="Arial" w:hAnsi="Arial" w:cs="Arial"/>
          <w:szCs w:val="20"/>
        </w:rPr>
        <w:t>gewichten die Grundrechte der Betroffenen unterschiedlich danach, in welchem Wirtschaftssektor das Unternehmen tätig ist, an dem sie b</w:t>
      </w:r>
      <w:r>
        <w:rPr>
          <w:rFonts w:ascii="Arial" w:hAnsi="Arial" w:cs="Arial"/>
          <w:szCs w:val="20"/>
        </w:rPr>
        <w:t xml:space="preserve">eteiligt sind. </w:t>
      </w:r>
    </w:p>
    <w:p w14:paraId="166DC68B" w14:textId="12D10A29" w:rsidR="004D1B83" w:rsidRDefault="004D1B83" w:rsidP="004D1B83">
      <w:pPr>
        <w:rPr>
          <w:rFonts w:ascii="Arial" w:hAnsi="Arial" w:cs="Arial"/>
          <w:szCs w:val="20"/>
        </w:rPr>
      </w:pPr>
      <w:r>
        <w:rPr>
          <w:rFonts w:ascii="Arial" w:hAnsi="Arial" w:cs="Arial"/>
          <w:szCs w:val="20"/>
        </w:rPr>
        <w:t xml:space="preserve">Allenfalls erfolgt eine </w:t>
      </w:r>
      <w:r w:rsidRPr="00964177">
        <w:rPr>
          <w:rFonts w:ascii="Arial" w:hAnsi="Arial" w:cs="Arial"/>
          <w:szCs w:val="20"/>
        </w:rPr>
        <w:t>Unterscheidung umgekehrt</w:t>
      </w:r>
      <w:r>
        <w:rPr>
          <w:rFonts w:ascii="Arial" w:hAnsi="Arial" w:cs="Arial"/>
          <w:szCs w:val="20"/>
        </w:rPr>
        <w:t xml:space="preserve"> danach, wer die Einträge über die Betroffenen einsehen darf. Hier führt der EuGH Personengruppen auf, die ein berechtigtes Interesse an der Einsicht haben (siehe oben</w:t>
      </w:r>
      <w:r w:rsidR="00BB1384">
        <w:rPr>
          <w:rFonts w:ascii="Arial" w:hAnsi="Arial" w:cs="Arial"/>
          <w:szCs w:val="20"/>
        </w:rPr>
        <w:t xml:space="preserve"> bei 3.</w:t>
      </w:r>
      <w:r>
        <w:rPr>
          <w:rFonts w:ascii="Arial" w:hAnsi="Arial" w:cs="Arial"/>
          <w:szCs w:val="20"/>
        </w:rPr>
        <w:t xml:space="preserve">). </w:t>
      </w:r>
    </w:p>
    <w:p w14:paraId="13C18E4C" w14:textId="3BB70AAA" w:rsidR="004D1B83" w:rsidRDefault="004D1B83" w:rsidP="004D1B83">
      <w:pPr>
        <w:rPr>
          <w:rFonts w:ascii="Arial" w:hAnsi="Arial" w:cs="Arial"/>
          <w:szCs w:val="20"/>
        </w:rPr>
      </w:pPr>
    </w:p>
    <w:p w14:paraId="228C2AFD" w14:textId="2E8A9264" w:rsidR="004D1B83" w:rsidRDefault="004D1B83" w:rsidP="004D1B83">
      <w:pPr>
        <w:rPr>
          <w:rFonts w:ascii="Arial" w:hAnsi="Arial" w:cs="Arial"/>
          <w:b/>
          <w:szCs w:val="20"/>
        </w:rPr>
      </w:pPr>
      <w:r>
        <w:rPr>
          <w:rFonts w:ascii="Arial" w:hAnsi="Arial" w:cs="Arial"/>
          <w:b/>
          <w:szCs w:val="20"/>
        </w:rPr>
        <w:t>6. Veröffentlichungen durch die Unternehmen</w:t>
      </w:r>
    </w:p>
    <w:p w14:paraId="765A0226" w14:textId="77777777" w:rsidR="004D1B83" w:rsidRDefault="004D1B83" w:rsidP="004D1B83">
      <w:pPr>
        <w:rPr>
          <w:rFonts w:ascii="Arial" w:hAnsi="Arial" w:cs="Arial"/>
          <w:szCs w:val="20"/>
        </w:rPr>
      </w:pPr>
      <w:r>
        <w:rPr>
          <w:rFonts w:ascii="Arial" w:hAnsi="Arial" w:cs="Arial"/>
          <w:szCs w:val="20"/>
        </w:rPr>
        <w:t xml:space="preserve">Eine öffentliche unbeschränkte Wiedergabe der Registerauszüge würde nach Einschätzung des BMF die Zugangsvoraussetzungen zum Transparenzregister und die Vorgaben </w:t>
      </w:r>
      <w:proofErr w:type="gramStart"/>
      <w:r>
        <w:rPr>
          <w:rFonts w:ascii="Arial" w:hAnsi="Arial" w:cs="Arial"/>
          <w:szCs w:val="20"/>
        </w:rPr>
        <w:t>des EuGH</w:t>
      </w:r>
      <w:proofErr w:type="gramEnd"/>
      <w:r>
        <w:rPr>
          <w:rFonts w:ascii="Arial" w:hAnsi="Arial" w:cs="Arial"/>
          <w:szCs w:val="20"/>
        </w:rPr>
        <w:t xml:space="preserve"> aushebeln.</w:t>
      </w:r>
    </w:p>
    <w:p w14:paraId="7820EF60" w14:textId="250DD72F" w:rsidR="004D1B83" w:rsidRDefault="004D1B83" w:rsidP="004D1B83">
      <w:pPr>
        <w:rPr>
          <w:rFonts w:ascii="Arial" w:hAnsi="Arial" w:cs="Arial"/>
          <w:szCs w:val="20"/>
        </w:rPr>
      </w:pPr>
      <w:r w:rsidRPr="00987085">
        <w:rPr>
          <w:rFonts w:ascii="Arial" w:hAnsi="Arial" w:cs="Arial"/>
          <w:szCs w:val="20"/>
        </w:rPr>
        <w:lastRenderedPageBreak/>
        <w:t xml:space="preserve">Darüber hinaus handelt es sich bei den Angaben zu </w:t>
      </w:r>
      <w:r w:rsidRPr="00995F56">
        <w:rPr>
          <w:rFonts w:ascii="Arial" w:hAnsi="Arial" w:cs="Arial"/>
          <w:szCs w:val="20"/>
        </w:rPr>
        <w:t>wirtschaftlich Berechtigten bei natürlichen Personen um personenbezogene Daten. Sofern eine Einwilligung datenschutzrechtlich erforderlich ist, ist sie bei den jeweiligen Betroffenen einzuholen und ist von diesen widerrufbar (Art. 7 EU DSGVO). Insofern sind die Umstände nicht vergleichbar mit den Voraussetzungen bei dem Verzicht auf das Steuergeheim</w:t>
      </w:r>
      <w:r w:rsidRPr="00987085">
        <w:rPr>
          <w:rFonts w:ascii="Arial" w:hAnsi="Arial" w:cs="Arial"/>
          <w:szCs w:val="20"/>
        </w:rPr>
        <w:t>nis im Rahmen der D-EITI.</w:t>
      </w:r>
      <w:r w:rsidR="009F0F90">
        <w:rPr>
          <w:rFonts w:ascii="Arial" w:hAnsi="Arial" w:cs="Arial"/>
          <w:szCs w:val="20"/>
        </w:rPr>
        <w:t xml:space="preserve"> </w:t>
      </w:r>
    </w:p>
    <w:p w14:paraId="1F04FEF1" w14:textId="77777777" w:rsidR="00BB1384" w:rsidRDefault="00BB1384" w:rsidP="004D1B83">
      <w:pPr>
        <w:rPr>
          <w:rFonts w:ascii="Arial" w:hAnsi="Arial" w:cs="Arial"/>
          <w:szCs w:val="20"/>
        </w:rPr>
      </w:pPr>
    </w:p>
    <w:p w14:paraId="7E18D112" w14:textId="5802A7F3" w:rsidR="004D1B83" w:rsidRPr="00F50B87" w:rsidRDefault="004D1B83" w:rsidP="004D1B83">
      <w:pPr>
        <w:rPr>
          <w:rFonts w:ascii="Arial" w:hAnsi="Arial" w:cs="Arial"/>
          <w:b/>
          <w:szCs w:val="20"/>
        </w:rPr>
      </w:pPr>
      <w:r>
        <w:rPr>
          <w:rFonts w:ascii="Arial" w:hAnsi="Arial" w:cs="Arial"/>
          <w:b/>
          <w:szCs w:val="20"/>
        </w:rPr>
        <w:t xml:space="preserve">7. </w:t>
      </w:r>
      <w:r w:rsidRPr="00F50B87">
        <w:rPr>
          <w:rFonts w:ascii="Arial" w:hAnsi="Arial" w:cs="Arial"/>
          <w:b/>
          <w:szCs w:val="20"/>
        </w:rPr>
        <w:t>Sach- und Rechtslage in anderen EU-Ländern</w:t>
      </w:r>
    </w:p>
    <w:p w14:paraId="5A817E63" w14:textId="5898F4AB" w:rsidR="009C1986" w:rsidRDefault="009C1986" w:rsidP="004D1B83">
      <w:pPr>
        <w:rPr>
          <w:rFonts w:ascii="Arial" w:hAnsi="Arial" w:cs="Arial"/>
          <w:szCs w:val="20"/>
        </w:rPr>
      </w:pPr>
      <w:r w:rsidRPr="009C1986">
        <w:rPr>
          <w:rFonts w:ascii="Arial" w:hAnsi="Arial" w:cs="Arial"/>
          <w:szCs w:val="20"/>
          <w:u w:val="single"/>
        </w:rPr>
        <w:t xml:space="preserve">In Bezug auf die Umsetzung der </w:t>
      </w:r>
      <w:r>
        <w:rPr>
          <w:rFonts w:ascii="Arial" w:hAnsi="Arial" w:cs="Arial"/>
          <w:szCs w:val="20"/>
          <w:u w:val="single"/>
        </w:rPr>
        <w:t xml:space="preserve">oben beschriebenen </w:t>
      </w:r>
      <w:r w:rsidRPr="009C1986">
        <w:rPr>
          <w:rFonts w:ascii="Arial" w:hAnsi="Arial" w:cs="Arial"/>
          <w:szCs w:val="20"/>
          <w:u w:val="single"/>
        </w:rPr>
        <w:t>EuGH-Vorgaben stimmt sich DEU eng mit den anderen EU-Mitgliedssaaten ab</w:t>
      </w:r>
      <w:r>
        <w:rPr>
          <w:rFonts w:ascii="Arial" w:hAnsi="Arial" w:cs="Arial"/>
          <w:szCs w:val="20"/>
        </w:rPr>
        <w:t>. Mithin gibt es dazu keinen „Alleingang“ von DEU.</w:t>
      </w:r>
    </w:p>
    <w:p w14:paraId="0C473336" w14:textId="0E75DBE4" w:rsidR="004D1B83" w:rsidRPr="00503AB2" w:rsidRDefault="004D1B83" w:rsidP="004D1B83">
      <w:pPr>
        <w:rPr>
          <w:rFonts w:ascii="Arial" w:hAnsi="Arial" w:cs="Arial"/>
          <w:szCs w:val="20"/>
        </w:rPr>
      </w:pPr>
      <w:r w:rsidRPr="00503AB2">
        <w:rPr>
          <w:rFonts w:ascii="Arial" w:hAnsi="Arial" w:cs="Arial"/>
          <w:szCs w:val="20"/>
        </w:rPr>
        <w:t xml:space="preserve">Nach Information des BMF </w:t>
      </w:r>
      <w:r>
        <w:rPr>
          <w:rFonts w:ascii="Arial" w:hAnsi="Arial" w:cs="Arial"/>
          <w:szCs w:val="20"/>
        </w:rPr>
        <w:t>werden derzeit</w:t>
      </w:r>
      <w:r w:rsidRPr="00503AB2" w:rsidDel="001A0ED5">
        <w:rPr>
          <w:rFonts w:ascii="Arial" w:hAnsi="Arial" w:cs="Arial"/>
          <w:szCs w:val="20"/>
        </w:rPr>
        <w:t xml:space="preserve"> </w:t>
      </w:r>
      <w:r>
        <w:rPr>
          <w:rFonts w:ascii="Arial" w:hAnsi="Arial" w:cs="Arial"/>
          <w:szCs w:val="20"/>
        </w:rPr>
        <w:t>die</w:t>
      </w:r>
      <w:r w:rsidRPr="00503AB2">
        <w:rPr>
          <w:rFonts w:ascii="Arial" w:hAnsi="Arial" w:cs="Arial"/>
          <w:szCs w:val="20"/>
        </w:rPr>
        <w:t xml:space="preserve"> Transparenzregister </w:t>
      </w:r>
      <w:r>
        <w:rPr>
          <w:rFonts w:ascii="Arial" w:hAnsi="Arial" w:cs="Arial"/>
          <w:szCs w:val="20"/>
        </w:rPr>
        <w:t xml:space="preserve">der EU-Mitgliedstaaten auf der europäischen Plattform BORIS </w:t>
      </w:r>
      <w:r w:rsidRPr="00BB1384">
        <w:rPr>
          <w:rFonts w:ascii="Arial" w:hAnsi="Arial" w:cs="Arial"/>
          <w:szCs w:val="20"/>
          <w:u w:val="single"/>
        </w:rPr>
        <w:t>miteinander vernetzt</w:t>
      </w:r>
      <w:r>
        <w:rPr>
          <w:rFonts w:ascii="Arial" w:hAnsi="Arial" w:cs="Arial"/>
          <w:szCs w:val="20"/>
        </w:rPr>
        <w:t>. Hierzu und auch zum EuGH-Urteil</w:t>
      </w:r>
      <w:r w:rsidRPr="00503AB2">
        <w:rPr>
          <w:rFonts w:ascii="Arial" w:hAnsi="Arial" w:cs="Arial"/>
          <w:szCs w:val="20"/>
        </w:rPr>
        <w:t xml:space="preserve"> stimmen sich </w:t>
      </w:r>
      <w:r>
        <w:rPr>
          <w:rFonts w:ascii="Arial" w:hAnsi="Arial" w:cs="Arial"/>
          <w:szCs w:val="20"/>
        </w:rPr>
        <w:t xml:space="preserve">die Mitgliedstaaten </w:t>
      </w:r>
      <w:r w:rsidRPr="00503AB2">
        <w:rPr>
          <w:rFonts w:ascii="Arial" w:hAnsi="Arial" w:cs="Arial"/>
          <w:szCs w:val="20"/>
        </w:rPr>
        <w:t>untereinander und mit der EU-KOM regelmäßig ab. DEU nimmt in den relevanten Gremien</w:t>
      </w:r>
      <w:r w:rsidRPr="00B42206">
        <w:rPr>
          <w:rFonts w:ascii="Arial" w:hAnsi="Arial" w:cs="Arial"/>
          <w:szCs w:val="20"/>
        </w:rPr>
        <w:t xml:space="preserve"> an dem Austausch teil. Danach herrsch</w:t>
      </w:r>
      <w:r>
        <w:rPr>
          <w:rFonts w:ascii="Arial" w:hAnsi="Arial" w:cs="Arial"/>
          <w:szCs w:val="20"/>
        </w:rPr>
        <w:t>t</w:t>
      </w:r>
      <w:r w:rsidRPr="00B42206">
        <w:rPr>
          <w:rFonts w:ascii="Arial" w:hAnsi="Arial" w:cs="Arial"/>
          <w:szCs w:val="20"/>
        </w:rPr>
        <w:t xml:space="preserve"> </w:t>
      </w:r>
      <w:r w:rsidRPr="00B42206">
        <w:rPr>
          <w:rFonts w:ascii="Arial" w:hAnsi="Arial" w:cs="Arial"/>
          <w:szCs w:val="20"/>
          <w:u w:val="single"/>
        </w:rPr>
        <w:t>Konsens in Bezug auf die Rechtswirkungen des EuGH-Urteils</w:t>
      </w:r>
      <w:r>
        <w:rPr>
          <w:rFonts w:ascii="Arial" w:hAnsi="Arial" w:cs="Arial"/>
          <w:szCs w:val="20"/>
        </w:rPr>
        <w:t>. Nach Urteilsverkündung haben 12 Mitgliedsstaaten den Zugang zu ihren Transparenzregistern ausgesetzt. Auch die Vernetzung der Transparenzregister wurde aus diesem Grund ausgesetzt.</w:t>
      </w:r>
      <w:r w:rsidRPr="00B42206">
        <w:rPr>
          <w:rFonts w:ascii="Arial" w:hAnsi="Arial" w:cs="Arial"/>
          <w:szCs w:val="20"/>
        </w:rPr>
        <w:t xml:space="preserve"> Soweit </w:t>
      </w:r>
      <w:r>
        <w:rPr>
          <w:rFonts w:ascii="Arial" w:hAnsi="Arial" w:cs="Arial"/>
          <w:szCs w:val="20"/>
        </w:rPr>
        <w:t xml:space="preserve">andere EU-Mitgliedstaaten </w:t>
      </w:r>
      <w:r w:rsidRPr="00B42206">
        <w:rPr>
          <w:rFonts w:ascii="Arial" w:hAnsi="Arial" w:cs="Arial"/>
          <w:szCs w:val="20"/>
        </w:rPr>
        <w:t xml:space="preserve">noch nicht wussten, wie sie das EuGH-Urteil umsetzen sollen, hatte dies vor allem technische Gründe, weil es nicht so einfach ist, ein für alle zugängliches Register einzuschränken und einen entsprechenden </w:t>
      </w:r>
      <w:proofErr w:type="spellStart"/>
      <w:r w:rsidRPr="00B42206">
        <w:rPr>
          <w:rFonts w:ascii="Arial" w:hAnsi="Arial" w:cs="Arial"/>
          <w:szCs w:val="20"/>
        </w:rPr>
        <w:t>Einsichtnahmeprozess</w:t>
      </w:r>
      <w:proofErr w:type="spellEnd"/>
      <w:r w:rsidRPr="00B42206">
        <w:rPr>
          <w:rFonts w:ascii="Arial" w:hAnsi="Arial" w:cs="Arial"/>
          <w:szCs w:val="20"/>
        </w:rPr>
        <w:t xml:space="preserve"> zu etablieren.</w:t>
      </w:r>
    </w:p>
    <w:p w14:paraId="76A16626" w14:textId="7E4B7937" w:rsidR="009C1986" w:rsidRPr="00503AB2" w:rsidRDefault="009C1986" w:rsidP="009C1986">
      <w:pPr>
        <w:rPr>
          <w:rFonts w:ascii="Arial" w:hAnsi="Arial" w:cs="Arial"/>
          <w:szCs w:val="20"/>
        </w:rPr>
      </w:pPr>
      <w:r>
        <w:rPr>
          <w:rFonts w:ascii="Arial" w:hAnsi="Arial" w:cs="Arial"/>
          <w:szCs w:val="20"/>
        </w:rPr>
        <w:t>Darüber hinaus setzt kein weites EU-Land den EITI Standard um, mit Ausnahme von NL. Es kann von hier aus mit vertretbarem Aufwand nicht überprüft werden, um was für Register es sich bei EST, SVK, FR, DK, BGR, CZE, SVN, LV, POL konkret handelt</w:t>
      </w:r>
      <w:r>
        <w:rPr>
          <w:rStyle w:val="Funotenzeichen"/>
          <w:rFonts w:ascii="Arial" w:hAnsi="Arial" w:cs="Arial"/>
          <w:szCs w:val="20"/>
        </w:rPr>
        <w:footnoteReference w:id="27"/>
      </w:r>
      <w:r>
        <w:rPr>
          <w:rFonts w:ascii="Arial" w:hAnsi="Arial" w:cs="Arial"/>
          <w:szCs w:val="20"/>
        </w:rPr>
        <w:t xml:space="preserve">, von welchen Stellen sie geführt werden (z.B. Gerichte oder Behörden), wie und von wem die Eintragungen dort genau überprüft werden und ob dort die Informationen zu wirtschaftlich Berechtigten natürlichen Personen bei Rohstoffunternehmen tatsächlich in allen Fällen enthalten und öffentlich unbeschränkt </w:t>
      </w:r>
      <w:r w:rsidRPr="00503AB2">
        <w:rPr>
          <w:rFonts w:ascii="Arial" w:hAnsi="Arial" w:cs="Arial"/>
          <w:szCs w:val="20"/>
        </w:rPr>
        <w:t xml:space="preserve">zugänglich sind. </w:t>
      </w:r>
    </w:p>
    <w:p w14:paraId="2EE40ECE" w14:textId="77777777" w:rsidR="004D1B83" w:rsidRPr="002224FB" w:rsidRDefault="004D1B83" w:rsidP="004D1B83">
      <w:pPr>
        <w:rPr>
          <w:rFonts w:ascii="Arial" w:hAnsi="Arial" w:cs="Arial"/>
          <w:szCs w:val="20"/>
        </w:rPr>
      </w:pPr>
    </w:p>
    <w:p w14:paraId="0CF73FA1" w14:textId="134DFEDF" w:rsidR="00627C56" w:rsidRDefault="004D1B83" w:rsidP="00DC5361">
      <w:pPr>
        <w:rPr>
          <w:rFonts w:ascii="Arial" w:hAnsi="Arial" w:cs="Arial"/>
          <w:b/>
          <w:szCs w:val="20"/>
        </w:rPr>
      </w:pPr>
      <w:r>
        <w:rPr>
          <w:rFonts w:ascii="Arial" w:hAnsi="Arial" w:cs="Arial"/>
          <w:b/>
          <w:szCs w:val="20"/>
        </w:rPr>
        <w:t>8.</w:t>
      </w:r>
      <w:r w:rsidR="00627C56">
        <w:rPr>
          <w:rFonts w:ascii="Arial" w:hAnsi="Arial" w:cs="Arial"/>
          <w:b/>
          <w:szCs w:val="20"/>
        </w:rPr>
        <w:t xml:space="preserve"> </w:t>
      </w:r>
      <w:r w:rsidR="00F12360">
        <w:rPr>
          <w:rFonts w:ascii="Arial" w:hAnsi="Arial" w:cs="Arial"/>
          <w:b/>
          <w:szCs w:val="20"/>
        </w:rPr>
        <w:t>Andere Möglichkeiten in Deutschland für die Information der Öffentlichkeit</w:t>
      </w:r>
    </w:p>
    <w:p w14:paraId="0450BC10" w14:textId="21E14226" w:rsidR="00183E0D" w:rsidRPr="00987085" w:rsidRDefault="00F12360" w:rsidP="00DC5361">
      <w:pPr>
        <w:rPr>
          <w:rFonts w:ascii="Arial" w:hAnsi="Arial" w:cs="Arial"/>
          <w:szCs w:val="20"/>
        </w:rPr>
      </w:pPr>
      <w:r>
        <w:rPr>
          <w:rFonts w:ascii="Arial" w:hAnsi="Arial" w:cs="Arial"/>
          <w:szCs w:val="20"/>
          <w:u w:val="single"/>
        </w:rPr>
        <w:t>Di</w:t>
      </w:r>
      <w:r w:rsidRPr="002224FB">
        <w:rPr>
          <w:rFonts w:ascii="Arial" w:hAnsi="Arial" w:cs="Arial"/>
          <w:szCs w:val="20"/>
          <w:u w:val="single"/>
        </w:rPr>
        <w:t xml:space="preserve">e Öffentlichkeit in DEU </w:t>
      </w:r>
      <w:r>
        <w:rPr>
          <w:rFonts w:ascii="Arial" w:hAnsi="Arial" w:cs="Arial"/>
          <w:szCs w:val="20"/>
          <w:u w:val="single"/>
        </w:rPr>
        <w:t xml:space="preserve">verfügt </w:t>
      </w:r>
      <w:r w:rsidRPr="002224FB">
        <w:rPr>
          <w:rFonts w:ascii="Arial" w:hAnsi="Arial" w:cs="Arial"/>
          <w:szCs w:val="20"/>
          <w:u w:val="single"/>
        </w:rPr>
        <w:t xml:space="preserve">über besonders zahlreiche Auskunftsmöglichkeiten aus verschiedenen Registern. Dies ermöglicht eine umfassende Gewinnung von Informationen, </w:t>
      </w:r>
      <w:r w:rsidRPr="00320275">
        <w:rPr>
          <w:rFonts w:ascii="Arial" w:hAnsi="Arial" w:cs="Arial"/>
          <w:szCs w:val="20"/>
        </w:rPr>
        <w:t>unabhängig vom elektronischen Transparenzregister.</w:t>
      </w:r>
      <w:r>
        <w:rPr>
          <w:rFonts w:ascii="Arial" w:hAnsi="Arial" w:cs="Arial"/>
          <w:szCs w:val="20"/>
        </w:rPr>
        <w:t xml:space="preserve"> Denn es existieren </w:t>
      </w:r>
      <w:r w:rsidRPr="00987085">
        <w:rPr>
          <w:rFonts w:ascii="Arial" w:hAnsi="Arial" w:cs="Arial"/>
          <w:szCs w:val="20"/>
        </w:rPr>
        <w:t>zahlreiche</w:t>
      </w:r>
      <w:r>
        <w:rPr>
          <w:rFonts w:ascii="Arial" w:hAnsi="Arial" w:cs="Arial"/>
          <w:szCs w:val="20"/>
        </w:rPr>
        <w:t xml:space="preserve"> </w:t>
      </w:r>
      <w:r w:rsidRPr="00987085">
        <w:rPr>
          <w:rFonts w:ascii="Arial" w:hAnsi="Arial" w:cs="Arial"/>
          <w:szCs w:val="20"/>
        </w:rPr>
        <w:t>Auskunftsportale</w:t>
      </w:r>
      <w:r>
        <w:rPr>
          <w:rFonts w:ascii="Arial" w:hAnsi="Arial" w:cs="Arial"/>
          <w:szCs w:val="20"/>
        </w:rPr>
        <w:t xml:space="preserve"> für den Wirtschaftsverkehr</w:t>
      </w:r>
      <w:r w:rsidRPr="00987085">
        <w:rPr>
          <w:rFonts w:ascii="Arial" w:hAnsi="Arial" w:cs="Arial"/>
          <w:szCs w:val="20"/>
        </w:rPr>
        <w:t>.</w:t>
      </w:r>
    </w:p>
    <w:p w14:paraId="284B6A9C" w14:textId="7D2C54E4" w:rsidR="00023CF6" w:rsidRPr="00987085" w:rsidRDefault="00EA67F9" w:rsidP="00DC5361">
      <w:pPr>
        <w:rPr>
          <w:rFonts w:ascii="Arial" w:hAnsi="Arial" w:cs="Arial"/>
          <w:szCs w:val="20"/>
        </w:rPr>
      </w:pPr>
      <w:r w:rsidRPr="00987085">
        <w:rPr>
          <w:rFonts w:ascii="Arial" w:hAnsi="Arial" w:cs="Arial"/>
          <w:szCs w:val="20"/>
        </w:rPr>
        <w:t xml:space="preserve">Neben dem Transparenzregister, das ursprünglich lediglich als Auffangregister </w:t>
      </w:r>
      <w:r w:rsidR="00FE267D" w:rsidRPr="00987085">
        <w:rPr>
          <w:rFonts w:ascii="Arial" w:hAnsi="Arial" w:cs="Arial"/>
          <w:szCs w:val="20"/>
        </w:rPr>
        <w:t>eingerichtet</w:t>
      </w:r>
      <w:r w:rsidRPr="00987085">
        <w:rPr>
          <w:rFonts w:ascii="Arial" w:hAnsi="Arial" w:cs="Arial"/>
          <w:szCs w:val="20"/>
        </w:rPr>
        <w:t xml:space="preserve"> </w:t>
      </w:r>
      <w:r w:rsidR="00C82499">
        <w:rPr>
          <w:rFonts w:ascii="Arial" w:hAnsi="Arial" w:cs="Arial"/>
          <w:szCs w:val="20"/>
        </w:rPr>
        <w:t xml:space="preserve">und in 2021 auf ein Vollregister umgestellt </w:t>
      </w:r>
      <w:r w:rsidRPr="00987085">
        <w:rPr>
          <w:rFonts w:ascii="Arial" w:hAnsi="Arial" w:cs="Arial"/>
          <w:szCs w:val="20"/>
        </w:rPr>
        <w:t xml:space="preserve">wurde, </w:t>
      </w:r>
      <w:r w:rsidR="00B36AA9">
        <w:rPr>
          <w:rFonts w:ascii="Arial" w:hAnsi="Arial" w:cs="Arial"/>
          <w:szCs w:val="20"/>
        </w:rPr>
        <w:t>werden</w:t>
      </w:r>
      <w:r w:rsidR="00B36AA9" w:rsidRPr="00987085">
        <w:rPr>
          <w:rFonts w:ascii="Arial" w:hAnsi="Arial" w:cs="Arial"/>
          <w:szCs w:val="20"/>
        </w:rPr>
        <w:t xml:space="preserve"> </w:t>
      </w:r>
      <w:r w:rsidR="00023CF6" w:rsidRPr="00987085">
        <w:rPr>
          <w:rFonts w:ascii="Arial" w:hAnsi="Arial" w:cs="Arial"/>
          <w:szCs w:val="20"/>
        </w:rPr>
        <w:t xml:space="preserve">Informationen </w:t>
      </w:r>
      <w:r w:rsidR="00B47DAD" w:rsidRPr="00987085">
        <w:rPr>
          <w:rFonts w:ascii="Arial" w:hAnsi="Arial" w:cs="Arial"/>
          <w:szCs w:val="20"/>
        </w:rPr>
        <w:t xml:space="preserve">über </w:t>
      </w:r>
      <w:r w:rsidR="00133172" w:rsidRPr="00987085">
        <w:rPr>
          <w:rFonts w:ascii="Arial" w:hAnsi="Arial" w:cs="Arial"/>
          <w:szCs w:val="20"/>
        </w:rPr>
        <w:t xml:space="preserve">eingetragene natürliche und juristische Personen </w:t>
      </w:r>
      <w:r w:rsidR="00B36AA9">
        <w:rPr>
          <w:rFonts w:ascii="Arial" w:hAnsi="Arial" w:cs="Arial"/>
          <w:szCs w:val="20"/>
        </w:rPr>
        <w:t xml:space="preserve">sowie Personenhandelsgesellschaften </w:t>
      </w:r>
      <w:r w:rsidR="00133172" w:rsidRPr="00987085">
        <w:rPr>
          <w:rFonts w:ascii="Arial" w:hAnsi="Arial" w:cs="Arial"/>
          <w:szCs w:val="20"/>
        </w:rPr>
        <w:t xml:space="preserve">(z.B. </w:t>
      </w:r>
      <w:r w:rsidR="00023CF6" w:rsidRPr="00987085">
        <w:rPr>
          <w:rFonts w:ascii="Arial" w:hAnsi="Arial" w:cs="Arial"/>
          <w:szCs w:val="20"/>
        </w:rPr>
        <w:t>Kaufleute</w:t>
      </w:r>
      <w:r w:rsidR="00FE267D" w:rsidRPr="00987085">
        <w:rPr>
          <w:rFonts w:ascii="Arial" w:hAnsi="Arial" w:cs="Arial"/>
          <w:szCs w:val="20"/>
        </w:rPr>
        <w:t>,</w:t>
      </w:r>
      <w:r w:rsidR="00B47DAD" w:rsidRPr="00987085">
        <w:rPr>
          <w:rFonts w:ascii="Arial" w:hAnsi="Arial" w:cs="Arial"/>
          <w:szCs w:val="20"/>
        </w:rPr>
        <w:t xml:space="preserve"> </w:t>
      </w:r>
      <w:r w:rsidR="00023CF6" w:rsidRPr="00987085">
        <w:rPr>
          <w:rFonts w:ascii="Arial" w:hAnsi="Arial" w:cs="Arial"/>
          <w:szCs w:val="20"/>
        </w:rPr>
        <w:t>Kapitalgesellschaften</w:t>
      </w:r>
      <w:r w:rsidR="00133172" w:rsidRPr="00987085">
        <w:rPr>
          <w:rFonts w:ascii="Arial" w:hAnsi="Arial" w:cs="Arial"/>
          <w:szCs w:val="20"/>
        </w:rPr>
        <w:t>,</w:t>
      </w:r>
      <w:r w:rsidR="00FE267D" w:rsidRPr="00987085">
        <w:rPr>
          <w:rFonts w:ascii="Arial" w:hAnsi="Arial" w:cs="Arial"/>
          <w:szCs w:val="20"/>
        </w:rPr>
        <w:t xml:space="preserve"> offene Handelsgesellschaften</w:t>
      </w:r>
      <w:r w:rsidR="00133172" w:rsidRPr="00987085">
        <w:rPr>
          <w:rFonts w:ascii="Arial" w:hAnsi="Arial" w:cs="Arial"/>
          <w:szCs w:val="20"/>
        </w:rPr>
        <w:t>)</w:t>
      </w:r>
      <w:r w:rsidR="00FE267D" w:rsidRPr="00987085">
        <w:rPr>
          <w:rFonts w:ascii="Arial" w:hAnsi="Arial" w:cs="Arial"/>
          <w:szCs w:val="20"/>
        </w:rPr>
        <w:t xml:space="preserve"> </w:t>
      </w:r>
      <w:r w:rsidR="00023CF6" w:rsidRPr="00987085">
        <w:rPr>
          <w:rFonts w:ascii="Arial" w:hAnsi="Arial" w:cs="Arial"/>
          <w:szCs w:val="20"/>
        </w:rPr>
        <w:t>in den jeweil</w:t>
      </w:r>
      <w:r w:rsidR="00B47DAD" w:rsidRPr="00987085">
        <w:rPr>
          <w:rFonts w:ascii="Arial" w:hAnsi="Arial" w:cs="Arial"/>
          <w:szCs w:val="20"/>
        </w:rPr>
        <w:t xml:space="preserve">igen </w:t>
      </w:r>
      <w:r w:rsidR="00023CF6" w:rsidRPr="00987085">
        <w:rPr>
          <w:rFonts w:ascii="Arial" w:hAnsi="Arial" w:cs="Arial"/>
          <w:szCs w:val="20"/>
        </w:rPr>
        <w:t xml:space="preserve">Registern der zuständigen </w:t>
      </w:r>
      <w:r w:rsidR="00B36AA9">
        <w:rPr>
          <w:rFonts w:ascii="Arial" w:hAnsi="Arial" w:cs="Arial"/>
          <w:szCs w:val="20"/>
        </w:rPr>
        <w:t>Registerg</w:t>
      </w:r>
      <w:r w:rsidR="00023CF6" w:rsidRPr="00987085">
        <w:rPr>
          <w:rFonts w:ascii="Arial" w:hAnsi="Arial" w:cs="Arial"/>
          <w:szCs w:val="20"/>
        </w:rPr>
        <w:t xml:space="preserve">erichte </w:t>
      </w:r>
      <w:r w:rsidR="00B36AA9">
        <w:rPr>
          <w:rFonts w:ascii="Arial" w:hAnsi="Arial" w:cs="Arial"/>
          <w:szCs w:val="20"/>
        </w:rPr>
        <w:t>eingetragen</w:t>
      </w:r>
      <w:r w:rsidR="00B8280D" w:rsidRPr="00987085">
        <w:rPr>
          <w:rFonts w:ascii="Arial" w:hAnsi="Arial" w:cs="Arial"/>
          <w:szCs w:val="20"/>
        </w:rPr>
        <w:t>.</w:t>
      </w:r>
      <w:r w:rsidR="00FE267D" w:rsidRPr="00987085">
        <w:rPr>
          <w:rFonts w:ascii="Arial" w:hAnsi="Arial" w:cs="Arial"/>
          <w:szCs w:val="20"/>
        </w:rPr>
        <w:t xml:space="preserve"> Die Einträge umfassen </w:t>
      </w:r>
      <w:r w:rsidR="00B36AA9">
        <w:rPr>
          <w:rFonts w:ascii="Arial" w:hAnsi="Arial" w:cs="Arial"/>
          <w:szCs w:val="20"/>
        </w:rPr>
        <w:t xml:space="preserve">für alle </w:t>
      </w:r>
      <w:r w:rsidR="00FE267D" w:rsidRPr="00987085">
        <w:rPr>
          <w:rFonts w:ascii="Arial" w:hAnsi="Arial" w:cs="Arial"/>
          <w:szCs w:val="20"/>
        </w:rPr>
        <w:t>Rechtsform</w:t>
      </w:r>
      <w:r w:rsidR="00B36AA9">
        <w:rPr>
          <w:rFonts w:ascii="Arial" w:hAnsi="Arial" w:cs="Arial"/>
          <w:szCs w:val="20"/>
        </w:rPr>
        <w:t>en</w:t>
      </w:r>
      <w:r w:rsidR="00FE267D" w:rsidRPr="00987085">
        <w:rPr>
          <w:rFonts w:ascii="Arial" w:hAnsi="Arial" w:cs="Arial"/>
          <w:szCs w:val="20"/>
        </w:rPr>
        <w:t xml:space="preserve"> </w:t>
      </w:r>
      <w:r w:rsidR="00B36AA9">
        <w:rPr>
          <w:rFonts w:ascii="Arial" w:hAnsi="Arial" w:cs="Arial"/>
          <w:szCs w:val="20"/>
        </w:rPr>
        <w:t>die vertretungsberechtigten Personen und für bestimmte Rechtsformen</w:t>
      </w:r>
      <w:r w:rsidR="007D42E1">
        <w:rPr>
          <w:rFonts w:ascii="Arial" w:hAnsi="Arial" w:cs="Arial"/>
          <w:szCs w:val="20"/>
        </w:rPr>
        <w:t xml:space="preserve"> </w:t>
      </w:r>
      <w:r w:rsidR="00FE267D" w:rsidRPr="00987085">
        <w:rPr>
          <w:rFonts w:ascii="Arial" w:hAnsi="Arial" w:cs="Arial"/>
          <w:szCs w:val="20"/>
        </w:rPr>
        <w:t>veröffentlichungs</w:t>
      </w:r>
      <w:r w:rsidR="00713734">
        <w:rPr>
          <w:rFonts w:ascii="Arial" w:hAnsi="Arial" w:cs="Arial"/>
          <w:szCs w:val="20"/>
        </w:rPr>
        <w:t>-</w:t>
      </w:r>
      <w:r w:rsidR="00FE267D" w:rsidRPr="00987085">
        <w:rPr>
          <w:rFonts w:ascii="Arial" w:hAnsi="Arial" w:cs="Arial"/>
          <w:szCs w:val="20"/>
        </w:rPr>
        <w:t xml:space="preserve">pflichtige Angaben über </w:t>
      </w:r>
      <w:r w:rsidR="00B36AA9">
        <w:rPr>
          <w:rFonts w:ascii="Arial" w:hAnsi="Arial" w:cs="Arial"/>
          <w:szCs w:val="20"/>
        </w:rPr>
        <w:t xml:space="preserve">weitere </w:t>
      </w:r>
      <w:r w:rsidR="00FE267D" w:rsidRPr="00987085">
        <w:rPr>
          <w:rFonts w:ascii="Arial" w:hAnsi="Arial" w:cs="Arial"/>
          <w:szCs w:val="20"/>
        </w:rPr>
        <w:t>Beteiligte (z.B. nach HGB, GmbHG, PartG etc.).</w:t>
      </w:r>
      <w:r w:rsidR="00183E0D" w:rsidRPr="00987085">
        <w:rPr>
          <w:rFonts w:ascii="Arial" w:hAnsi="Arial" w:cs="Arial"/>
          <w:szCs w:val="20"/>
        </w:rPr>
        <w:t xml:space="preserve"> </w:t>
      </w:r>
    </w:p>
    <w:p w14:paraId="7045B05F" w14:textId="77777777" w:rsidR="00133172" w:rsidRPr="00987085" w:rsidRDefault="00133172" w:rsidP="00DC5361">
      <w:pPr>
        <w:rPr>
          <w:rFonts w:ascii="Arial" w:hAnsi="Arial" w:cs="Arial"/>
          <w:szCs w:val="20"/>
        </w:rPr>
      </w:pPr>
      <w:r w:rsidRPr="002224FB">
        <w:rPr>
          <w:rFonts w:ascii="Arial" w:hAnsi="Arial" w:cs="Arial"/>
          <w:szCs w:val="20"/>
          <w:u w:val="single"/>
        </w:rPr>
        <w:lastRenderedPageBreak/>
        <w:t>Alle zugänglichen Verzeichnisse können der Öffentlichkeit dazu dienen, wirtschaftlich Berechtigte aufzufinden.</w:t>
      </w:r>
      <w:r w:rsidRPr="00987085">
        <w:rPr>
          <w:rFonts w:ascii="Arial" w:hAnsi="Arial" w:cs="Arial"/>
          <w:szCs w:val="20"/>
        </w:rPr>
        <w:t xml:space="preserve"> Der </w:t>
      </w:r>
      <w:r w:rsidRPr="00713734">
        <w:rPr>
          <w:rFonts w:ascii="Arial" w:hAnsi="Arial" w:cs="Arial"/>
          <w:szCs w:val="20"/>
          <w:u w:val="single"/>
        </w:rPr>
        <w:t xml:space="preserve">Aufwand </w:t>
      </w:r>
      <w:r w:rsidRPr="00987085">
        <w:rPr>
          <w:rFonts w:ascii="Arial" w:hAnsi="Arial" w:cs="Arial"/>
          <w:szCs w:val="20"/>
        </w:rPr>
        <w:t xml:space="preserve">kann je nach Rechtsform des Unternehmens und der genauen Beteiligungsstruktur (z.B. bei Beteiligungsketten) jedoch unterschiedlich sein. </w:t>
      </w:r>
    </w:p>
    <w:p w14:paraId="3C8C1437" w14:textId="7AB2C1E1" w:rsidR="00B92CF1" w:rsidRDefault="00FE267D" w:rsidP="00DC5361">
      <w:pPr>
        <w:rPr>
          <w:rFonts w:ascii="Arial" w:hAnsi="Arial" w:cs="Arial"/>
          <w:szCs w:val="20"/>
        </w:rPr>
      </w:pPr>
      <w:r w:rsidRPr="00987085">
        <w:rPr>
          <w:rFonts w:ascii="Arial" w:hAnsi="Arial" w:cs="Arial"/>
          <w:szCs w:val="20"/>
        </w:rPr>
        <w:t>So hat das</w:t>
      </w:r>
      <w:r w:rsidR="008B0521" w:rsidRPr="00987085">
        <w:rPr>
          <w:rFonts w:ascii="Arial" w:hAnsi="Arial" w:cs="Arial"/>
          <w:szCs w:val="20"/>
        </w:rPr>
        <w:t xml:space="preserve"> </w:t>
      </w:r>
      <w:r w:rsidR="008B0521" w:rsidRPr="008512C7">
        <w:rPr>
          <w:rFonts w:ascii="Arial" w:hAnsi="Arial" w:cs="Arial"/>
          <w:szCs w:val="20"/>
          <w:u w:val="single"/>
        </w:rPr>
        <w:t>Handelsregister</w:t>
      </w:r>
      <w:r w:rsidR="008B0521" w:rsidRPr="00987085">
        <w:rPr>
          <w:rFonts w:ascii="Arial" w:hAnsi="Arial" w:cs="Arial"/>
          <w:szCs w:val="20"/>
        </w:rPr>
        <w:t xml:space="preserve"> </w:t>
      </w:r>
      <w:r w:rsidR="00133172" w:rsidRPr="00987085">
        <w:rPr>
          <w:rFonts w:ascii="Arial" w:hAnsi="Arial" w:cs="Arial"/>
          <w:szCs w:val="20"/>
        </w:rPr>
        <w:t xml:space="preserve">traditionell </w:t>
      </w:r>
      <w:r w:rsidRPr="00987085">
        <w:rPr>
          <w:rFonts w:ascii="Arial" w:hAnsi="Arial" w:cs="Arial"/>
          <w:szCs w:val="20"/>
        </w:rPr>
        <w:t xml:space="preserve">eine sehr hohe praktische Bedeutung. Es </w:t>
      </w:r>
      <w:r w:rsidR="008B0521" w:rsidRPr="00987085">
        <w:rPr>
          <w:rFonts w:ascii="Arial" w:hAnsi="Arial" w:cs="Arial"/>
          <w:szCs w:val="20"/>
        </w:rPr>
        <w:t>dient der Offenbarung der für den Rechtsverkehr besonders bedeutsamen Tatsachen und Rechtsverhältnisse der Kaufleute und Handelsgesellschaften</w:t>
      </w:r>
      <w:r w:rsidR="008B0521" w:rsidRPr="00987085">
        <w:rPr>
          <w:rStyle w:val="Funotenzeichen"/>
          <w:rFonts w:ascii="Arial" w:hAnsi="Arial" w:cs="Arial"/>
          <w:szCs w:val="20"/>
        </w:rPr>
        <w:footnoteReference w:id="28"/>
      </w:r>
      <w:r w:rsidR="008B0521" w:rsidRPr="00987085">
        <w:rPr>
          <w:rFonts w:ascii="Arial" w:hAnsi="Arial" w:cs="Arial"/>
          <w:szCs w:val="20"/>
        </w:rPr>
        <w:t xml:space="preserve">. </w:t>
      </w:r>
      <w:r w:rsidR="00B92CF1" w:rsidRPr="00987085">
        <w:rPr>
          <w:rFonts w:ascii="Arial" w:hAnsi="Arial" w:cs="Arial"/>
          <w:szCs w:val="20"/>
        </w:rPr>
        <w:t>Die Registereintragung schafft besonderes Vertrauen (Publizitätsfunktion), den Eintragungen kommt eine besondere Schutz- oder Vertrauensfunktion zu und den Registergerichten obliegt eine Kontrollfunktion</w:t>
      </w:r>
      <w:r w:rsidR="00B92CF1" w:rsidRPr="00987085">
        <w:rPr>
          <w:rStyle w:val="Funotenzeichen"/>
          <w:rFonts w:ascii="Arial" w:hAnsi="Arial" w:cs="Arial"/>
          <w:szCs w:val="20"/>
        </w:rPr>
        <w:footnoteReference w:id="29"/>
      </w:r>
      <w:r w:rsidR="00B92CF1" w:rsidRPr="00987085">
        <w:rPr>
          <w:rFonts w:ascii="Arial" w:hAnsi="Arial" w:cs="Arial"/>
          <w:szCs w:val="20"/>
        </w:rPr>
        <w:t xml:space="preserve">. </w:t>
      </w:r>
      <w:r w:rsidR="003C036A" w:rsidRPr="00987085">
        <w:rPr>
          <w:rFonts w:ascii="Arial" w:hAnsi="Arial" w:cs="Arial"/>
          <w:szCs w:val="20"/>
        </w:rPr>
        <w:t xml:space="preserve">Darüber hinaus wurden im Zuge der </w:t>
      </w:r>
      <w:r w:rsidR="001C3D57" w:rsidRPr="00987085">
        <w:rPr>
          <w:rFonts w:ascii="Arial" w:hAnsi="Arial" w:cs="Arial"/>
          <w:szCs w:val="20"/>
        </w:rPr>
        <w:t xml:space="preserve">Umsetzung der </w:t>
      </w:r>
      <w:r w:rsidR="001577C9" w:rsidRPr="00987085">
        <w:rPr>
          <w:rFonts w:ascii="Arial" w:hAnsi="Arial" w:cs="Arial"/>
          <w:szCs w:val="20"/>
        </w:rPr>
        <w:t xml:space="preserve">sog. </w:t>
      </w:r>
      <w:r w:rsidR="001C3D57" w:rsidRPr="00987085">
        <w:rPr>
          <w:rFonts w:ascii="Arial" w:hAnsi="Arial" w:cs="Arial"/>
          <w:szCs w:val="20"/>
        </w:rPr>
        <w:t xml:space="preserve">4. </w:t>
      </w:r>
      <w:r w:rsidR="00C82499">
        <w:rPr>
          <w:rFonts w:ascii="Arial" w:hAnsi="Arial" w:cs="Arial"/>
          <w:szCs w:val="20"/>
        </w:rPr>
        <w:t>EU-</w:t>
      </w:r>
      <w:r w:rsidR="001C3D57" w:rsidRPr="00987085">
        <w:rPr>
          <w:rFonts w:ascii="Arial" w:hAnsi="Arial" w:cs="Arial"/>
          <w:szCs w:val="20"/>
        </w:rPr>
        <w:t>Geldwäsche</w:t>
      </w:r>
      <w:r w:rsidR="00C82499">
        <w:rPr>
          <w:rFonts w:ascii="Arial" w:hAnsi="Arial" w:cs="Arial"/>
          <w:szCs w:val="20"/>
        </w:rPr>
        <w:t>r</w:t>
      </w:r>
      <w:r w:rsidR="001C3D57" w:rsidRPr="00987085">
        <w:rPr>
          <w:rFonts w:ascii="Arial" w:hAnsi="Arial" w:cs="Arial"/>
          <w:szCs w:val="20"/>
        </w:rPr>
        <w:t xml:space="preserve">ichtlinie </w:t>
      </w:r>
      <w:r w:rsidR="001577C9" w:rsidRPr="00987085">
        <w:rPr>
          <w:rFonts w:ascii="Arial" w:hAnsi="Arial" w:cs="Arial"/>
          <w:szCs w:val="20"/>
        </w:rPr>
        <w:t xml:space="preserve">2015 </w:t>
      </w:r>
      <w:r w:rsidR="001C3D57" w:rsidRPr="00987085">
        <w:rPr>
          <w:rFonts w:ascii="Arial" w:hAnsi="Arial" w:cs="Arial"/>
          <w:szCs w:val="20"/>
        </w:rPr>
        <w:t xml:space="preserve">durch die </w:t>
      </w:r>
      <w:r w:rsidR="003C036A" w:rsidRPr="00987085">
        <w:rPr>
          <w:rFonts w:ascii="Arial" w:hAnsi="Arial" w:cs="Arial"/>
          <w:szCs w:val="20"/>
        </w:rPr>
        <w:t>GwG-Reform</w:t>
      </w:r>
      <w:r w:rsidR="001C3D57" w:rsidRPr="00987085">
        <w:rPr>
          <w:rStyle w:val="Funotenzeichen"/>
          <w:rFonts w:ascii="Arial" w:hAnsi="Arial" w:cs="Arial"/>
          <w:szCs w:val="20"/>
        </w:rPr>
        <w:footnoteReference w:id="30"/>
      </w:r>
      <w:r w:rsidR="003C036A" w:rsidRPr="00987085">
        <w:rPr>
          <w:rFonts w:ascii="Arial" w:hAnsi="Arial" w:cs="Arial"/>
          <w:szCs w:val="20"/>
        </w:rPr>
        <w:t xml:space="preserve"> </w:t>
      </w:r>
      <w:r w:rsidR="00C82499">
        <w:rPr>
          <w:rFonts w:ascii="Arial" w:hAnsi="Arial" w:cs="Arial"/>
          <w:szCs w:val="20"/>
        </w:rPr>
        <w:t xml:space="preserve">in 2017 </w:t>
      </w:r>
      <w:r w:rsidR="003C036A" w:rsidRPr="00987085">
        <w:rPr>
          <w:rFonts w:ascii="Arial" w:hAnsi="Arial" w:cs="Arial"/>
          <w:szCs w:val="20"/>
        </w:rPr>
        <w:t xml:space="preserve">auch </w:t>
      </w:r>
      <w:r w:rsidR="00B92CF1" w:rsidRPr="00987085">
        <w:rPr>
          <w:rFonts w:ascii="Arial" w:hAnsi="Arial" w:cs="Arial"/>
          <w:szCs w:val="20"/>
        </w:rPr>
        <w:t>Regelungen geschaffen, welche die Auffindung von wirtschaftlich Berechtigten erleichtern sollen.</w:t>
      </w:r>
      <w:r w:rsidR="00503AB2">
        <w:rPr>
          <w:rStyle w:val="Funotenzeichen"/>
          <w:rFonts w:ascii="Arial" w:hAnsi="Arial" w:cs="Arial"/>
          <w:szCs w:val="20"/>
        </w:rPr>
        <w:footnoteReference w:id="31"/>
      </w:r>
      <w:r w:rsidR="00B92CF1" w:rsidRPr="00987085">
        <w:rPr>
          <w:rFonts w:ascii="Arial" w:hAnsi="Arial" w:cs="Arial"/>
          <w:szCs w:val="20"/>
        </w:rPr>
        <w:t xml:space="preserve"> Hierfür wurden insbesondere </w:t>
      </w:r>
      <w:r w:rsidR="003C036A" w:rsidRPr="00987085">
        <w:rPr>
          <w:rFonts w:ascii="Arial" w:hAnsi="Arial" w:cs="Arial"/>
          <w:szCs w:val="20"/>
        </w:rPr>
        <w:t xml:space="preserve">die </w:t>
      </w:r>
      <w:r w:rsidR="001577C9" w:rsidRPr="00987085">
        <w:rPr>
          <w:rFonts w:ascii="Arial" w:hAnsi="Arial" w:cs="Arial"/>
          <w:szCs w:val="20"/>
        </w:rPr>
        <w:t>erforderlichen</w:t>
      </w:r>
      <w:r w:rsidR="003C036A" w:rsidRPr="00987085">
        <w:rPr>
          <w:rFonts w:ascii="Arial" w:hAnsi="Arial" w:cs="Arial"/>
          <w:szCs w:val="20"/>
        </w:rPr>
        <w:t xml:space="preserve"> </w:t>
      </w:r>
      <w:r w:rsidR="00CC2A13" w:rsidRPr="00987085">
        <w:rPr>
          <w:rFonts w:ascii="Arial" w:hAnsi="Arial" w:cs="Arial"/>
          <w:szCs w:val="20"/>
        </w:rPr>
        <w:t>Beteiligungsa</w:t>
      </w:r>
      <w:r w:rsidR="003C036A" w:rsidRPr="00987085">
        <w:rPr>
          <w:rFonts w:ascii="Arial" w:hAnsi="Arial" w:cs="Arial"/>
          <w:szCs w:val="20"/>
        </w:rPr>
        <w:t xml:space="preserve">ngaben in Gesellschafterlisten </w:t>
      </w:r>
      <w:r w:rsidR="00023CF6" w:rsidRPr="00987085">
        <w:rPr>
          <w:rFonts w:ascii="Arial" w:hAnsi="Arial" w:cs="Arial"/>
          <w:szCs w:val="20"/>
        </w:rPr>
        <w:t>gemäß</w:t>
      </w:r>
      <w:r w:rsidR="003C036A" w:rsidRPr="00B92CF1">
        <w:rPr>
          <w:rFonts w:ascii="Arial" w:hAnsi="Arial" w:cs="Arial"/>
          <w:szCs w:val="20"/>
        </w:rPr>
        <w:t xml:space="preserve"> § 40 Abs. 1 GmbHG </w:t>
      </w:r>
      <w:r w:rsidR="00023CF6" w:rsidRPr="00B92CF1">
        <w:rPr>
          <w:rFonts w:ascii="Arial" w:hAnsi="Arial" w:cs="Arial"/>
          <w:szCs w:val="20"/>
        </w:rPr>
        <w:t>und der GmbH-Gesellschafterlistenverordnung</w:t>
      </w:r>
      <w:r w:rsidR="001C3D57" w:rsidRPr="00B92CF1">
        <w:rPr>
          <w:rStyle w:val="Funotenzeichen"/>
          <w:rFonts w:ascii="Arial" w:hAnsi="Arial" w:cs="Arial"/>
          <w:szCs w:val="20"/>
        </w:rPr>
        <w:footnoteReference w:id="32"/>
      </w:r>
      <w:r w:rsidR="00023CF6" w:rsidRPr="00B92CF1">
        <w:rPr>
          <w:rFonts w:ascii="Arial" w:hAnsi="Arial" w:cs="Arial"/>
          <w:szCs w:val="20"/>
        </w:rPr>
        <w:t xml:space="preserve"> </w:t>
      </w:r>
      <w:r w:rsidR="003C036A" w:rsidRPr="00B92CF1">
        <w:rPr>
          <w:rFonts w:ascii="Arial" w:hAnsi="Arial" w:cs="Arial"/>
          <w:szCs w:val="20"/>
        </w:rPr>
        <w:t>erweitert.</w:t>
      </w:r>
    </w:p>
    <w:p w14:paraId="64F04471" w14:textId="7C68DF1E" w:rsidR="00801027" w:rsidRDefault="00B92CF1" w:rsidP="00DC5361">
      <w:pPr>
        <w:rPr>
          <w:rFonts w:ascii="Arial" w:hAnsi="Arial" w:cs="Arial"/>
          <w:szCs w:val="20"/>
          <w:highlight w:val="yellow"/>
        </w:rPr>
      </w:pPr>
      <w:r w:rsidRPr="00987085">
        <w:rPr>
          <w:rFonts w:ascii="Arial" w:hAnsi="Arial" w:cs="Arial"/>
          <w:szCs w:val="20"/>
        </w:rPr>
        <w:t>Die Einsichtnahme</w:t>
      </w:r>
      <w:r w:rsidR="001577C9" w:rsidRPr="00987085">
        <w:rPr>
          <w:rFonts w:ascii="Arial" w:hAnsi="Arial" w:cs="Arial"/>
          <w:szCs w:val="20"/>
        </w:rPr>
        <w:t xml:space="preserve"> in das Handelsregister</w:t>
      </w:r>
      <w:r w:rsidRPr="00987085">
        <w:rPr>
          <w:rFonts w:ascii="Arial" w:hAnsi="Arial" w:cs="Arial"/>
          <w:szCs w:val="20"/>
        </w:rPr>
        <w:t xml:space="preserve"> ist jedem zu Informationszwecken gestattet (vgl. § 9 Abs. 1 S. 1 HGB</w:t>
      </w:r>
      <w:r w:rsidRPr="00987085">
        <w:rPr>
          <w:rStyle w:val="Funotenzeichen"/>
          <w:rFonts w:ascii="Arial" w:hAnsi="Arial" w:cs="Arial"/>
          <w:szCs w:val="20"/>
        </w:rPr>
        <w:footnoteReference w:id="33"/>
      </w:r>
      <w:r w:rsidRPr="00987085">
        <w:rPr>
          <w:rFonts w:ascii="Arial" w:hAnsi="Arial" w:cs="Arial"/>
          <w:szCs w:val="20"/>
        </w:rPr>
        <w:t>).</w:t>
      </w:r>
      <w:r w:rsidRPr="001C3D57">
        <w:rPr>
          <w:rFonts w:ascii="Arial" w:hAnsi="Arial" w:cs="Arial"/>
          <w:szCs w:val="20"/>
        </w:rPr>
        <w:t> </w:t>
      </w:r>
      <w:r>
        <w:rPr>
          <w:rFonts w:ascii="Arial" w:hAnsi="Arial" w:cs="Arial"/>
          <w:szCs w:val="20"/>
        </w:rPr>
        <w:t xml:space="preserve"> </w:t>
      </w:r>
      <w:r w:rsidR="001577C9">
        <w:rPr>
          <w:rFonts w:ascii="Arial" w:hAnsi="Arial" w:cs="Arial"/>
          <w:szCs w:val="20"/>
        </w:rPr>
        <w:t>Das Recht</w:t>
      </w:r>
      <w:r w:rsidRPr="001577C9">
        <w:rPr>
          <w:rFonts w:ascii="Arial" w:hAnsi="Arial" w:cs="Arial"/>
          <w:szCs w:val="20"/>
        </w:rPr>
        <w:t xml:space="preserve"> </w:t>
      </w:r>
      <w:r w:rsidR="003C036A" w:rsidRPr="001577C9">
        <w:rPr>
          <w:rFonts w:ascii="Arial" w:hAnsi="Arial" w:cs="Arial"/>
          <w:szCs w:val="20"/>
        </w:rPr>
        <w:t xml:space="preserve">erstreckt sich </w:t>
      </w:r>
      <w:r w:rsidR="00736BCF">
        <w:rPr>
          <w:rFonts w:ascii="Arial" w:hAnsi="Arial" w:cs="Arial"/>
          <w:szCs w:val="20"/>
        </w:rPr>
        <w:t xml:space="preserve">auch </w:t>
      </w:r>
      <w:r w:rsidRPr="001577C9">
        <w:rPr>
          <w:rFonts w:ascii="Arial" w:hAnsi="Arial" w:cs="Arial"/>
          <w:szCs w:val="20"/>
        </w:rPr>
        <w:t xml:space="preserve">auf alle </w:t>
      </w:r>
      <w:r w:rsidR="00736BCF">
        <w:rPr>
          <w:rFonts w:ascii="Arial" w:hAnsi="Arial" w:cs="Arial"/>
          <w:szCs w:val="20"/>
        </w:rPr>
        <w:t xml:space="preserve">einzureichenden </w:t>
      </w:r>
      <w:r w:rsidRPr="001577C9">
        <w:rPr>
          <w:rFonts w:ascii="Arial" w:hAnsi="Arial" w:cs="Arial"/>
          <w:szCs w:val="20"/>
        </w:rPr>
        <w:t xml:space="preserve">Dokumente. Damit sind </w:t>
      </w:r>
      <w:r w:rsidR="00736BCF">
        <w:rPr>
          <w:rFonts w:ascii="Arial" w:hAnsi="Arial" w:cs="Arial"/>
          <w:szCs w:val="20"/>
        </w:rPr>
        <w:t xml:space="preserve">u.a. </w:t>
      </w:r>
      <w:r w:rsidR="003C036A" w:rsidRPr="001577C9">
        <w:rPr>
          <w:rFonts w:ascii="Arial" w:hAnsi="Arial" w:cs="Arial"/>
          <w:szCs w:val="20"/>
        </w:rPr>
        <w:t>auch die zum Register eingereichten Gesellschafterlisten</w:t>
      </w:r>
      <w:r w:rsidRPr="001577C9">
        <w:rPr>
          <w:rFonts w:ascii="Arial" w:hAnsi="Arial" w:cs="Arial"/>
          <w:szCs w:val="20"/>
        </w:rPr>
        <w:t xml:space="preserve"> erfasst</w:t>
      </w:r>
      <w:r w:rsidR="003C036A" w:rsidRPr="001577C9">
        <w:rPr>
          <w:rStyle w:val="Funotenzeichen"/>
          <w:rFonts w:ascii="Arial" w:hAnsi="Arial" w:cs="Arial"/>
          <w:szCs w:val="20"/>
        </w:rPr>
        <w:footnoteReference w:id="34"/>
      </w:r>
      <w:r w:rsidR="003C036A" w:rsidRPr="001577C9">
        <w:rPr>
          <w:rFonts w:ascii="Arial" w:hAnsi="Arial" w:cs="Arial"/>
          <w:szCs w:val="20"/>
        </w:rPr>
        <w:t>.</w:t>
      </w:r>
      <w:r w:rsidR="00CC2A13" w:rsidRPr="001577C9">
        <w:rPr>
          <w:rFonts w:ascii="Arial" w:hAnsi="Arial" w:cs="Arial"/>
          <w:szCs w:val="20"/>
        </w:rPr>
        <w:t xml:space="preserve"> </w:t>
      </w:r>
      <w:r w:rsidR="001577C9">
        <w:rPr>
          <w:rFonts w:ascii="Arial" w:hAnsi="Arial" w:cs="Arial"/>
          <w:szCs w:val="20"/>
        </w:rPr>
        <w:t>Über das Gemeinsame Registerp</w:t>
      </w:r>
      <w:r w:rsidR="008940FE">
        <w:rPr>
          <w:rFonts w:ascii="Arial" w:hAnsi="Arial" w:cs="Arial"/>
          <w:szCs w:val="20"/>
        </w:rPr>
        <w:t>r</w:t>
      </w:r>
      <w:r w:rsidR="001577C9">
        <w:rPr>
          <w:rFonts w:ascii="Arial" w:hAnsi="Arial" w:cs="Arial"/>
          <w:szCs w:val="20"/>
        </w:rPr>
        <w:t xml:space="preserve">otal der Länder </w:t>
      </w:r>
      <w:r w:rsidR="00736BCF">
        <w:rPr>
          <w:rFonts w:ascii="Arial" w:hAnsi="Arial" w:cs="Arial"/>
          <w:szCs w:val="20"/>
        </w:rPr>
        <w:t xml:space="preserve">(www.handelsregister.de) </w:t>
      </w:r>
      <w:r w:rsidR="001577C9">
        <w:rPr>
          <w:rFonts w:ascii="Arial" w:hAnsi="Arial" w:cs="Arial"/>
          <w:szCs w:val="20"/>
        </w:rPr>
        <w:t xml:space="preserve">können </w:t>
      </w:r>
      <w:r w:rsidR="00736BCF">
        <w:rPr>
          <w:rFonts w:ascii="Arial" w:hAnsi="Arial" w:cs="Arial"/>
          <w:szCs w:val="20"/>
        </w:rPr>
        <w:t xml:space="preserve">die Eintragungen und Dokumente </w:t>
      </w:r>
      <w:r w:rsidR="001577C9">
        <w:rPr>
          <w:rFonts w:ascii="Arial" w:hAnsi="Arial" w:cs="Arial"/>
          <w:szCs w:val="20"/>
        </w:rPr>
        <w:t>aus den Handels-, Vereins-, Genossenschafts- und Partnerschaftsregistern öffentlich online eingesehen w</w:t>
      </w:r>
      <w:r w:rsidR="001577C9" w:rsidRPr="001C3D57">
        <w:rPr>
          <w:rFonts w:ascii="Arial" w:hAnsi="Arial" w:cs="Arial"/>
          <w:szCs w:val="20"/>
        </w:rPr>
        <w:t>erden</w:t>
      </w:r>
      <w:r w:rsidR="001577C9" w:rsidRPr="001C3D57">
        <w:rPr>
          <w:rStyle w:val="Funotenzeichen"/>
          <w:rFonts w:ascii="Arial" w:hAnsi="Arial" w:cs="Arial"/>
          <w:szCs w:val="20"/>
        </w:rPr>
        <w:footnoteReference w:id="35"/>
      </w:r>
      <w:r w:rsidR="001577C9" w:rsidRPr="001C3D57">
        <w:rPr>
          <w:rFonts w:ascii="Arial" w:hAnsi="Arial" w:cs="Arial"/>
          <w:szCs w:val="20"/>
        </w:rPr>
        <w:t>.</w:t>
      </w:r>
    </w:p>
    <w:p w14:paraId="707E814F" w14:textId="1F161319" w:rsidR="008B0521" w:rsidRDefault="008B0521" w:rsidP="00DC5361">
      <w:pPr>
        <w:rPr>
          <w:rFonts w:ascii="Arial" w:hAnsi="Arial" w:cs="Arial"/>
          <w:szCs w:val="20"/>
        </w:rPr>
      </w:pPr>
      <w:r w:rsidRPr="008B0521">
        <w:rPr>
          <w:rFonts w:ascii="Arial" w:hAnsi="Arial" w:cs="Arial"/>
          <w:szCs w:val="20"/>
        </w:rPr>
        <w:t xml:space="preserve">Als zentrale </w:t>
      </w:r>
      <w:r w:rsidRPr="00987085">
        <w:rPr>
          <w:rFonts w:ascii="Arial" w:hAnsi="Arial" w:cs="Arial"/>
          <w:szCs w:val="20"/>
        </w:rPr>
        <w:t xml:space="preserve">Plattform für die </w:t>
      </w:r>
      <w:r w:rsidR="009335AC" w:rsidRPr="00987085">
        <w:rPr>
          <w:rFonts w:ascii="Arial" w:hAnsi="Arial" w:cs="Arial"/>
          <w:szCs w:val="20"/>
        </w:rPr>
        <w:t xml:space="preserve">elektronische </w:t>
      </w:r>
      <w:r w:rsidRPr="00987085">
        <w:rPr>
          <w:rFonts w:ascii="Arial" w:hAnsi="Arial" w:cs="Arial"/>
          <w:szCs w:val="20"/>
        </w:rPr>
        <w:t xml:space="preserve">Zugänglichmachung von Unternehmensdaten </w:t>
      </w:r>
      <w:r w:rsidR="00750457" w:rsidRPr="00987085">
        <w:rPr>
          <w:rFonts w:ascii="Arial" w:hAnsi="Arial" w:cs="Arial"/>
          <w:szCs w:val="20"/>
        </w:rPr>
        <w:t>dient</w:t>
      </w:r>
      <w:r w:rsidRPr="00987085">
        <w:rPr>
          <w:rFonts w:ascii="Arial" w:hAnsi="Arial" w:cs="Arial"/>
          <w:szCs w:val="20"/>
        </w:rPr>
        <w:t xml:space="preserve"> </w:t>
      </w:r>
      <w:r w:rsidR="00133172" w:rsidRPr="00987085">
        <w:rPr>
          <w:rFonts w:ascii="Arial" w:hAnsi="Arial" w:cs="Arial"/>
          <w:szCs w:val="20"/>
        </w:rPr>
        <w:t xml:space="preserve">heute </w:t>
      </w:r>
      <w:r w:rsidRPr="00987085">
        <w:rPr>
          <w:rFonts w:ascii="Arial" w:hAnsi="Arial" w:cs="Arial"/>
          <w:szCs w:val="20"/>
        </w:rPr>
        <w:t xml:space="preserve">das </w:t>
      </w:r>
      <w:r w:rsidRPr="008512C7">
        <w:rPr>
          <w:rFonts w:ascii="Arial" w:hAnsi="Arial" w:cs="Arial"/>
          <w:szCs w:val="20"/>
          <w:u w:val="single"/>
        </w:rPr>
        <w:t>Unternehmensregister</w:t>
      </w:r>
      <w:r w:rsidRPr="00987085">
        <w:rPr>
          <w:rStyle w:val="Funotenzeichen"/>
          <w:rFonts w:ascii="Arial" w:hAnsi="Arial" w:cs="Arial"/>
          <w:szCs w:val="20"/>
        </w:rPr>
        <w:footnoteReference w:id="36"/>
      </w:r>
      <w:r w:rsidRPr="00987085">
        <w:rPr>
          <w:rFonts w:ascii="Arial" w:hAnsi="Arial" w:cs="Arial"/>
          <w:szCs w:val="20"/>
        </w:rPr>
        <w:t xml:space="preserve">. Dieses enthält neben Eintragungen in die o.g. Register </w:t>
      </w:r>
      <w:r w:rsidR="00736BCF">
        <w:rPr>
          <w:rFonts w:ascii="Arial" w:hAnsi="Arial" w:cs="Arial"/>
          <w:szCs w:val="20"/>
        </w:rPr>
        <w:t xml:space="preserve">und den offengelegten Dokumenten </w:t>
      </w:r>
      <w:r w:rsidRPr="00987085">
        <w:rPr>
          <w:rFonts w:ascii="Arial" w:hAnsi="Arial" w:cs="Arial"/>
          <w:szCs w:val="20"/>
        </w:rPr>
        <w:t xml:space="preserve">u.a. Rechnungslegungsunterlagen und Unternehmensberichte nach HGB sowie Veröffentlichungen nach kapitalmarktrechtlichen Vorgaben </w:t>
      </w:r>
      <w:r w:rsidR="00750457" w:rsidRPr="00987085">
        <w:rPr>
          <w:rFonts w:ascii="Arial" w:hAnsi="Arial" w:cs="Arial"/>
          <w:szCs w:val="20"/>
        </w:rPr>
        <w:t>(</w:t>
      </w:r>
      <w:r w:rsidRPr="00987085">
        <w:rPr>
          <w:rFonts w:ascii="Arial" w:hAnsi="Arial" w:cs="Arial"/>
          <w:szCs w:val="20"/>
        </w:rPr>
        <w:t>z.B. Wertpapierhandelsgesetz</w:t>
      </w:r>
      <w:r w:rsidR="00750457" w:rsidRPr="00987085">
        <w:rPr>
          <w:rFonts w:ascii="Arial" w:hAnsi="Arial" w:cs="Arial"/>
          <w:szCs w:val="20"/>
        </w:rPr>
        <w:t>)</w:t>
      </w:r>
      <w:r w:rsidRPr="00987085">
        <w:rPr>
          <w:rFonts w:ascii="Arial" w:hAnsi="Arial" w:cs="Arial"/>
          <w:szCs w:val="20"/>
        </w:rPr>
        <w:t xml:space="preserve">. Die Einsicht ist </w:t>
      </w:r>
      <w:r w:rsidR="00736BCF">
        <w:rPr>
          <w:rFonts w:ascii="Arial" w:hAnsi="Arial" w:cs="Arial"/>
          <w:szCs w:val="20"/>
        </w:rPr>
        <w:t xml:space="preserve">- </w:t>
      </w:r>
      <w:r w:rsidRPr="00987085">
        <w:rPr>
          <w:rFonts w:ascii="Arial" w:hAnsi="Arial" w:cs="Arial"/>
          <w:szCs w:val="20"/>
        </w:rPr>
        <w:t>wie in das Handelsregister</w:t>
      </w:r>
      <w:r w:rsidR="00736BCF">
        <w:rPr>
          <w:rFonts w:ascii="Arial" w:hAnsi="Arial" w:cs="Arial"/>
          <w:szCs w:val="20"/>
        </w:rPr>
        <w:t xml:space="preserve"> - online für </w:t>
      </w:r>
      <w:r w:rsidR="000922A5">
        <w:rPr>
          <w:rFonts w:ascii="Arial" w:hAnsi="Arial" w:cs="Arial"/>
          <w:szCs w:val="20"/>
        </w:rPr>
        <w:t>j</w:t>
      </w:r>
      <w:r w:rsidR="00736BCF">
        <w:rPr>
          <w:rFonts w:ascii="Arial" w:hAnsi="Arial" w:cs="Arial"/>
          <w:szCs w:val="20"/>
        </w:rPr>
        <w:t>edermann</w:t>
      </w:r>
      <w:r w:rsidRPr="00987085">
        <w:rPr>
          <w:rFonts w:ascii="Arial" w:hAnsi="Arial" w:cs="Arial"/>
          <w:szCs w:val="20"/>
        </w:rPr>
        <w:t xml:space="preserve"> möglich (§§ 8b, 9 Abs. 6 HGB</w:t>
      </w:r>
      <w:r w:rsidR="000922A5">
        <w:rPr>
          <w:rFonts w:ascii="Arial" w:hAnsi="Arial" w:cs="Arial"/>
          <w:szCs w:val="20"/>
        </w:rPr>
        <w:t>; siehe</w:t>
      </w:r>
      <w:r w:rsidR="00736BCF">
        <w:rPr>
          <w:rFonts w:ascii="Arial" w:hAnsi="Arial" w:cs="Arial"/>
          <w:szCs w:val="20"/>
        </w:rPr>
        <w:t xml:space="preserve"> www.unternehmensregister.de</w:t>
      </w:r>
      <w:r w:rsidRPr="00987085">
        <w:rPr>
          <w:rFonts w:ascii="Arial" w:hAnsi="Arial" w:cs="Arial"/>
          <w:szCs w:val="20"/>
        </w:rPr>
        <w:t xml:space="preserve">). </w:t>
      </w:r>
    </w:p>
    <w:p w14:paraId="047861F0" w14:textId="77777777" w:rsidR="00736BCF" w:rsidRDefault="00736BCF" w:rsidP="00736BCF">
      <w:pPr>
        <w:rPr>
          <w:rFonts w:ascii="Arial" w:hAnsi="Arial" w:cs="Arial"/>
          <w:szCs w:val="20"/>
        </w:rPr>
      </w:pPr>
      <w:r>
        <w:rPr>
          <w:rFonts w:ascii="Arial" w:hAnsi="Arial" w:cs="Arial"/>
          <w:szCs w:val="20"/>
        </w:rPr>
        <w:t xml:space="preserve">Alle vertretungsberechtigten Personen eingetragener Unternehmen sind öffentlich einsehbar. Alle Gesellschafter von Personenhandelsgesellschaften werden in das Handelsregister eingetragen und sind öffentlich einsehbar, die Gesellschafter der GmbH sind in der öffentlich einsehbaren Gesellschafterliste enthalten. </w:t>
      </w:r>
    </w:p>
    <w:p w14:paraId="2EF451C3" w14:textId="1951D6CF" w:rsidR="00736BCF" w:rsidRPr="00987085" w:rsidRDefault="00736BCF" w:rsidP="00736BCF">
      <w:pPr>
        <w:rPr>
          <w:rFonts w:ascii="Arial" w:hAnsi="Arial" w:cs="Arial"/>
          <w:szCs w:val="20"/>
        </w:rPr>
      </w:pPr>
      <w:r>
        <w:rPr>
          <w:rFonts w:ascii="Arial" w:hAnsi="Arial" w:cs="Arial"/>
          <w:szCs w:val="20"/>
        </w:rPr>
        <w:t xml:space="preserve">Für die Bestimmung des wirtschaftlich Berechtigten bei börsennotierten Gesellschaften kann auf die Stimmrechtsmitteilungen im Unternehmensregister zugegriffen werden. Denn gemäß § 33 Abs. 1 WpHG ist u.a. das Erreichen, Überschreiten und Unterschreiten von 25 % der Stimmrechte meldepflichtig, wobei nach § 34 WpHG weitreichende Zurechnungstatbestände (z.B. bei Treuhandkonstellationen) gelten. Diese Meldungen sind gemäß § 40 WpHG zu veröffentlichen und dem Unternehmensregister zur Speicherung zu übermitteln. Im Unternehmensregister können die Meldungen von jedermann kostenlos über das Internet abgerufen werden. Der Schwellenwert von 25 % entspricht zudem der Mindestschwelle, bei </w:t>
      </w:r>
      <w:r>
        <w:rPr>
          <w:rFonts w:ascii="Arial" w:hAnsi="Arial" w:cs="Arial"/>
          <w:szCs w:val="20"/>
        </w:rPr>
        <w:lastRenderedPageBreak/>
        <w:t>deren Überschreitung Mitteilungspflichten über bedeutende Beteiligungen bei nicht börsennotierten Aktiengesellschaften nach dem Aktiengesetz bestehen (§§ 20 ff AktG).</w:t>
      </w:r>
    </w:p>
    <w:p w14:paraId="4033A0DF" w14:textId="77777777" w:rsidR="00B8280D" w:rsidRDefault="00B8280D" w:rsidP="00DC5361">
      <w:pPr>
        <w:rPr>
          <w:rFonts w:ascii="Arial" w:hAnsi="Arial" w:cs="Arial"/>
          <w:szCs w:val="20"/>
        </w:rPr>
      </w:pPr>
      <w:r w:rsidRPr="008512C7">
        <w:rPr>
          <w:rFonts w:ascii="Arial" w:hAnsi="Arial" w:cs="Arial"/>
          <w:szCs w:val="20"/>
        </w:rPr>
        <w:t>Es gibt weitere, online einsehbare Informationen über Unternehmen</w:t>
      </w:r>
      <w:r w:rsidR="00A43502" w:rsidRPr="008512C7">
        <w:rPr>
          <w:rFonts w:ascii="Arial" w:hAnsi="Arial" w:cs="Arial"/>
          <w:szCs w:val="20"/>
        </w:rPr>
        <w:t xml:space="preserve"> und Personen</w:t>
      </w:r>
      <w:r w:rsidRPr="008512C7">
        <w:rPr>
          <w:rFonts w:ascii="Arial" w:hAnsi="Arial" w:cs="Arial"/>
          <w:szCs w:val="20"/>
        </w:rPr>
        <w:t>, die unterschiedlichen Zwecken dienen</w:t>
      </w:r>
      <w:r w:rsidR="00A43502" w:rsidRPr="008512C7">
        <w:rPr>
          <w:rFonts w:ascii="Arial" w:hAnsi="Arial" w:cs="Arial"/>
          <w:szCs w:val="20"/>
        </w:rPr>
        <w:t xml:space="preserve"> und hier nur </w:t>
      </w:r>
      <w:r w:rsidR="008512C7">
        <w:rPr>
          <w:rFonts w:ascii="Arial" w:hAnsi="Arial" w:cs="Arial"/>
          <w:szCs w:val="20"/>
        </w:rPr>
        <w:t xml:space="preserve">exemplarisch </w:t>
      </w:r>
      <w:r w:rsidR="00A43502" w:rsidRPr="008512C7">
        <w:rPr>
          <w:rFonts w:ascii="Arial" w:hAnsi="Arial" w:cs="Arial"/>
          <w:szCs w:val="20"/>
        </w:rPr>
        <w:t>erwähnt werden können</w:t>
      </w:r>
      <w:r w:rsidRPr="008512C7">
        <w:rPr>
          <w:rFonts w:ascii="Arial" w:hAnsi="Arial" w:cs="Arial"/>
          <w:szCs w:val="20"/>
        </w:rPr>
        <w:t>.</w:t>
      </w:r>
      <w:r>
        <w:rPr>
          <w:rFonts w:ascii="Arial" w:hAnsi="Arial" w:cs="Arial"/>
          <w:szCs w:val="20"/>
        </w:rPr>
        <w:t xml:space="preserve"> Beispielsweise sind Insolvenzverfahren bei den </w:t>
      </w:r>
      <w:r w:rsidRPr="008512C7">
        <w:rPr>
          <w:rFonts w:ascii="Arial" w:hAnsi="Arial" w:cs="Arial"/>
          <w:szCs w:val="20"/>
          <w:u w:val="single"/>
        </w:rPr>
        <w:t>Insolvenzbekanntmachungen</w:t>
      </w:r>
      <w:r w:rsidR="00404F73">
        <w:rPr>
          <w:rStyle w:val="Funotenzeichen"/>
          <w:rFonts w:ascii="Arial" w:hAnsi="Arial" w:cs="Arial"/>
          <w:szCs w:val="20"/>
        </w:rPr>
        <w:footnoteReference w:id="37"/>
      </w:r>
      <w:r>
        <w:rPr>
          <w:rFonts w:ascii="Arial" w:hAnsi="Arial" w:cs="Arial"/>
          <w:szCs w:val="20"/>
        </w:rPr>
        <w:t xml:space="preserve"> und Daten aus Schuldnerverzeichnissen im Gemeinsamen</w:t>
      </w:r>
      <w:r w:rsidRPr="008512C7">
        <w:rPr>
          <w:rFonts w:ascii="Arial" w:hAnsi="Arial" w:cs="Arial"/>
          <w:szCs w:val="20"/>
          <w:u w:val="single"/>
        </w:rPr>
        <w:t xml:space="preserve"> Vollstreckungsportal </w:t>
      </w:r>
      <w:r>
        <w:rPr>
          <w:rFonts w:ascii="Arial" w:hAnsi="Arial" w:cs="Arial"/>
          <w:szCs w:val="20"/>
        </w:rPr>
        <w:t>der Länder</w:t>
      </w:r>
      <w:r w:rsidR="00404F73">
        <w:rPr>
          <w:rStyle w:val="Funotenzeichen"/>
          <w:rFonts w:ascii="Arial" w:hAnsi="Arial" w:cs="Arial"/>
          <w:szCs w:val="20"/>
        </w:rPr>
        <w:footnoteReference w:id="38"/>
      </w:r>
      <w:r>
        <w:rPr>
          <w:rFonts w:ascii="Arial" w:hAnsi="Arial" w:cs="Arial"/>
          <w:szCs w:val="20"/>
        </w:rPr>
        <w:t xml:space="preserve"> einsehbar.</w:t>
      </w:r>
    </w:p>
    <w:p w14:paraId="17AF5784" w14:textId="28C1A5BE" w:rsidR="00404F73" w:rsidRDefault="00404F73" w:rsidP="00736BCF">
      <w:pPr>
        <w:spacing w:after="0" w:line="240" w:lineRule="auto"/>
        <w:rPr>
          <w:rFonts w:ascii="Arial" w:hAnsi="Arial" w:cs="Arial"/>
          <w:szCs w:val="20"/>
        </w:rPr>
      </w:pPr>
      <w:r>
        <w:rPr>
          <w:rFonts w:ascii="Arial" w:hAnsi="Arial" w:cs="Arial"/>
          <w:szCs w:val="20"/>
        </w:rPr>
        <w:t xml:space="preserve">Öffentliche Auftraggeber </w:t>
      </w:r>
      <w:r w:rsidR="00736BCF">
        <w:rPr>
          <w:rFonts w:ascii="Arial" w:hAnsi="Arial" w:cs="Arial"/>
          <w:szCs w:val="20"/>
        </w:rPr>
        <w:t>sind verpflichtet</w:t>
      </w:r>
      <w:r w:rsidR="00E73246">
        <w:rPr>
          <w:rStyle w:val="Funotenzeichen"/>
          <w:rFonts w:ascii="Arial" w:hAnsi="Arial" w:cs="Arial"/>
          <w:szCs w:val="20"/>
        </w:rPr>
        <w:footnoteReference w:id="39"/>
      </w:r>
      <w:r w:rsidR="00736BCF">
        <w:rPr>
          <w:rFonts w:ascii="Arial" w:hAnsi="Arial" w:cs="Arial"/>
          <w:szCs w:val="20"/>
        </w:rPr>
        <w:t xml:space="preserve"> bzw. </w:t>
      </w:r>
      <w:r w:rsidR="00736BCF">
        <w:rPr>
          <w:rFonts w:ascii="Times New Roman" w:hAnsi="Times New Roman" w:cs="Times New Roman"/>
          <w:sz w:val="24"/>
          <w:szCs w:val="24"/>
          <w:lang w:eastAsia="de-DE"/>
        </w:rPr>
        <w:t xml:space="preserve"> </w:t>
      </w:r>
      <w:r>
        <w:rPr>
          <w:rFonts w:ascii="Arial" w:hAnsi="Arial" w:cs="Arial"/>
          <w:szCs w:val="20"/>
        </w:rPr>
        <w:t xml:space="preserve">können im Rahmen von Vergabeverfahren darüber hinaus auf das elektronische </w:t>
      </w:r>
      <w:r w:rsidRPr="008512C7">
        <w:rPr>
          <w:rFonts w:ascii="Arial" w:hAnsi="Arial" w:cs="Arial"/>
          <w:szCs w:val="20"/>
          <w:u w:val="single"/>
        </w:rPr>
        <w:t>Wettbewerbsregister</w:t>
      </w:r>
      <w:r>
        <w:rPr>
          <w:rFonts w:ascii="Arial" w:hAnsi="Arial" w:cs="Arial"/>
          <w:szCs w:val="20"/>
        </w:rPr>
        <w:t xml:space="preserve"> zugreifen, um Unternehmen im Hinblick auf </w:t>
      </w:r>
      <w:r w:rsidR="00736BCF">
        <w:rPr>
          <w:rFonts w:ascii="Arial" w:hAnsi="Arial" w:cs="Arial"/>
          <w:szCs w:val="20"/>
        </w:rPr>
        <w:t xml:space="preserve">das Vorliegen rechtskräftiger strafgerichtlicher Verurteilungen und Strafbefehle oder Bußgeldentscheidungen zu </w:t>
      </w:r>
      <w:r>
        <w:rPr>
          <w:rFonts w:ascii="Arial" w:hAnsi="Arial" w:cs="Arial"/>
          <w:szCs w:val="20"/>
        </w:rPr>
        <w:t>bestimmte</w:t>
      </w:r>
      <w:r w:rsidR="00736BCF">
        <w:rPr>
          <w:rFonts w:ascii="Arial" w:hAnsi="Arial" w:cs="Arial"/>
          <w:szCs w:val="20"/>
        </w:rPr>
        <w:t>n</w:t>
      </w:r>
      <w:r>
        <w:rPr>
          <w:rFonts w:ascii="Arial" w:hAnsi="Arial" w:cs="Arial"/>
          <w:szCs w:val="20"/>
        </w:rPr>
        <w:t xml:space="preserve"> Wirtschaftsdelikte</w:t>
      </w:r>
      <w:r w:rsidR="00736BCF">
        <w:rPr>
          <w:rFonts w:ascii="Arial" w:hAnsi="Arial" w:cs="Arial"/>
          <w:szCs w:val="20"/>
        </w:rPr>
        <w:t>n</w:t>
      </w:r>
      <w:r>
        <w:rPr>
          <w:rFonts w:ascii="Arial" w:hAnsi="Arial" w:cs="Arial"/>
          <w:szCs w:val="20"/>
        </w:rPr>
        <w:t xml:space="preserve"> zu überprüfen</w:t>
      </w:r>
      <w:r>
        <w:rPr>
          <w:rStyle w:val="Funotenzeichen"/>
          <w:rFonts w:ascii="Arial" w:hAnsi="Arial" w:cs="Arial"/>
          <w:szCs w:val="20"/>
        </w:rPr>
        <w:footnoteReference w:id="40"/>
      </w:r>
      <w:r>
        <w:rPr>
          <w:rFonts w:ascii="Arial" w:hAnsi="Arial" w:cs="Arial"/>
          <w:szCs w:val="20"/>
        </w:rPr>
        <w:t>. Einzelheiten sind im Wettbewerbsregistergesetz geregelt.</w:t>
      </w:r>
    </w:p>
    <w:p w14:paraId="280027B1" w14:textId="77777777" w:rsidR="00713734" w:rsidRPr="00736BCF" w:rsidRDefault="00713734" w:rsidP="00736BCF">
      <w:pPr>
        <w:spacing w:after="0" w:line="240" w:lineRule="auto"/>
        <w:rPr>
          <w:rFonts w:ascii="Times New Roman" w:hAnsi="Times New Roman" w:cs="Times New Roman"/>
          <w:sz w:val="24"/>
          <w:szCs w:val="24"/>
          <w:lang w:eastAsia="de-DE"/>
        </w:rPr>
      </w:pPr>
    </w:p>
    <w:p w14:paraId="3CBD27E3" w14:textId="0698C6E7" w:rsidR="008512C7" w:rsidRDefault="008512C7" w:rsidP="008512C7">
      <w:pPr>
        <w:rPr>
          <w:rFonts w:ascii="Arial" w:hAnsi="Arial" w:cs="Arial"/>
          <w:szCs w:val="20"/>
        </w:rPr>
      </w:pPr>
      <w:r>
        <w:rPr>
          <w:rFonts w:ascii="Arial" w:hAnsi="Arial" w:cs="Arial"/>
          <w:szCs w:val="20"/>
        </w:rPr>
        <w:t>Der vom Internationalen EITI Sekretariat angesprochene Immobiliensektor liegt außerhalb des bei D-EITI teilnehmenden Rohstoffsektors. Es wird daher davon ausgegangen, dass dieser Bereich nicht Gegenstand der Validierung nach EITI Standard sein kann.</w:t>
      </w:r>
      <w:r w:rsidR="00713734">
        <w:rPr>
          <w:rFonts w:ascii="Arial" w:hAnsi="Arial" w:cs="Arial"/>
          <w:szCs w:val="20"/>
        </w:rPr>
        <w:t xml:space="preserve"> </w:t>
      </w:r>
      <w:r>
        <w:rPr>
          <w:rFonts w:ascii="Arial" w:hAnsi="Arial" w:cs="Arial"/>
          <w:szCs w:val="20"/>
        </w:rPr>
        <w:t>Grundstückseigentümer sind</w:t>
      </w:r>
      <w:r w:rsidR="00713734">
        <w:rPr>
          <w:rFonts w:ascii="Arial" w:hAnsi="Arial" w:cs="Arial"/>
          <w:szCs w:val="20"/>
        </w:rPr>
        <w:t xml:space="preserve"> jedenfalls</w:t>
      </w:r>
      <w:r>
        <w:rPr>
          <w:rFonts w:ascii="Arial" w:hAnsi="Arial" w:cs="Arial"/>
          <w:szCs w:val="20"/>
        </w:rPr>
        <w:t xml:space="preserve"> u.a. aus den </w:t>
      </w:r>
      <w:r w:rsidRPr="008512C7">
        <w:rPr>
          <w:rFonts w:ascii="Arial" w:hAnsi="Arial" w:cs="Arial"/>
          <w:szCs w:val="20"/>
          <w:u w:val="single"/>
        </w:rPr>
        <w:t xml:space="preserve">Grundbüchern </w:t>
      </w:r>
      <w:r>
        <w:rPr>
          <w:rFonts w:ascii="Arial" w:hAnsi="Arial" w:cs="Arial"/>
          <w:szCs w:val="20"/>
        </w:rPr>
        <w:t>der zuständigen Amtsgerichte (Grundbuchämter) ersichtlich. Näheres regelt in DEU die Grundbuchordnung.</w:t>
      </w:r>
    </w:p>
    <w:p w14:paraId="3FB00D80" w14:textId="77777777" w:rsidR="005C271B" w:rsidRPr="008512C7" w:rsidRDefault="008512C7" w:rsidP="00E30908">
      <w:pPr>
        <w:rPr>
          <w:rFonts w:ascii="Arial" w:hAnsi="Arial" w:cs="Arial"/>
          <w:szCs w:val="20"/>
        </w:rPr>
      </w:pPr>
      <w:r w:rsidRPr="008512C7">
        <w:rPr>
          <w:rFonts w:ascii="Arial" w:hAnsi="Arial" w:cs="Arial"/>
          <w:szCs w:val="20"/>
          <w:u w:val="single"/>
        </w:rPr>
        <w:t>Für den Rohstoffsektor gibt es schließlich spezielle Regelungen im Bundesberggesetz</w:t>
      </w:r>
      <w:r w:rsidRPr="00987085">
        <w:rPr>
          <w:rFonts w:ascii="Arial" w:hAnsi="Arial" w:cs="Arial"/>
          <w:szCs w:val="20"/>
        </w:rPr>
        <w:t xml:space="preserve"> (BBergG). Über die Bewilligungen, Erlaubnisse und </w:t>
      </w:r>
      <w:r w:rsidR="008940FE">
        <w:rPr>
          <w:rFonts w:ascii="Arial" w:hAnsi="Arial" w:cs="Arial"/>
          <w:szCs w:val="20"/>
        </w:rPr>
        <w:t xml:space="preserve">das </w:t>
      </w:r>
      <w:r w:rsidRPr="00987085">
        <w:rPr>
          <w:rFonts w:ascii="Arial" w:hAnsi="Arial" w:cs="Arial"/>
          <w:szCs w:val="20"/>
        </w:rPr>
        <w:t xml:space="preserve">Bergwerkseigentum nach BBergG werden in DEU bei den zuständigen Behörden </w:t>
      </w:r>
      <w:proofErr w:type="spellStart"/>
      <w:r w:rsidRPr="008512C7">
        <w:rPr>
          <w:rFonts w:ascii="Arial" w:hAnsi="Arial" w:cs="Arial"/>
          <w:szCs w:val="20"/>
          <w:u w:val="single"/>
        </w:rPr>
        <w:t>Berechtsamsbücher</w:t>
      </w:r>
      <w:proofErr w:type="spellEnd"/>
      <w:r w:rsidRPr="008512C7">
        <w:rPr>
          <w:rFonts w:ascii="Arial" w:hAnsi="Arial" w:cs="Arial"/>
          <w:szCs w:val="20"/>
          <w:u w:val="single"/>
        </w:rPr>
        <w:t xml:space="preserve"> </w:t>
      </w:r>
      <w:r w:rsidRPr="00987085">
        <w:rPr>
          <w:rFonts w:ascii="Arial" w:hAnsi="Arial" w:cs="Arial"/>
          <w:szCs w:val="20"/>
        </w:rPr>
        <w:t>geführt (§ 75 Abs. 2 Nr. 1 BBergG). Über die Inhaber dieser Berechtigungen gewährt die Behörde</w:t>
      </w:r>
      <w:r>
        <w:rPr>
          <w:rFonts w:ascii="Arial" w:hAnsi="Arial" w:cs="Arial"/>
          <w:szCs w:val="20"/>
        </w:rPr>
        <w:t xml:space="preserve"> auf Antrag ohne Darlegung eines berechtigten Interesses Einsicht (§ 76 Abs. 3 Nr. 1 BBergG). </w:t>
      </w:r>
    </w:p>
    <w:p w14:paraId="6002BFC4" w14:textId="77777777" w:rsidR="008512C7" w:rsidRDefault="008512C7" w:rsidP="00E30908">
      <w:pPr>
        <w:rPr>
          <w:rFonts w:ascii="Arial" w:hAnsi="Arial" w:cs="Arial"/>
          <w:b/>
          <w:szCs w:val="20"/>
        </w:rPr>
      </w:pPr>
    </w:p>
    <w:p w14:paraId="7423F0A7" w14:textId="77550457" w:rsidR="00E73246" w:rsidRDefault="00E73246" w:rsidP="00DC5361">
      <w:pPr>
        <w:rPr>
          <w:rFonts w:ascii="Arial" w:hAnsi="Arial" w:cs="Arial"/>
          <w:b/>
          <w:szCs w:val="20"/>
        </w:rPr>
      </w:pPr>
      <w:r w:rsidRPr="00987085">
        <w:rPr>
          <w:rFonts w:ascii="Arial" w:hAnsi="Arial" w:cs="Arial"/>
          <w:szCs w:val="20"/>
        </w:rPr>
        <w:t xml:space="preserve"> </w:t>
      </w:r>
    </w:p>
    <w:p w14:paraId="187EF364" w14:textId="77777777" w:rsidR="004F6FE8" w:rsidRPr="002224FB" w:rsidRDefault="004F6FE8" w:rsidP="00DC5361">
      <w:pPr>
        <w:rPr>
          <w:rFonts w:ascii="Arial" w:hAnsi="Arial" w:cs="Arial"/>
          <w:b/>
          <w:sz w:val="10"/>
          <w:szCs w:val="10"/>
        </w:rPr>
      </w:pPr>
    </w:p>
    <w:p w14:paraId="162B7D0D" w14:textId="77777777" w:rsidR="001A0ED5" w:rsidRPr="002224FB" w:rsidRDefault="001A0ED5" w:rsidP="00DC5361">
      <w:pPr>
        <w:rPr>
          <w:rFonts w:ascii="Arial" w:hAnsi="Arial" w:cs="Arial"/>
          <w:sz w:val="10"/>
          <w:szCs w:val="10"/>
        </w:rPr>
      </w:pPr>
    </w:p>
    <w:p w14:paraId="4250B0FB" w14:textId="77777777" w:rsidR="002224FB" w:rsidRPr="002224FB" w:rsidRDefault="002224FB" w:rsidP="00DC5361">
      <w:pPr>
        <w:rPr>
          <w:rFonts w:ascii="Arial" w:hAnsi="Arial" w:cs="Arial"/>
          <w:b/>
          <w:sz w:val="10"/>
          <w:szCs w:val="10"/>
        </w:rPr>
      </w:pPr>
    </w:p>
    <w:p w14:paraId="409A3B40" w14:textId="77777777" w:rsidR="00B42206" w:rsidRPr="002224FB" w:rsidRDefault="00B42206" w:rsidP="00DC5361">
      <w:pPr>
        <w:rPr>
          <w:rFonts w:ascii="Arial" w:hAnsi="Arial" w:cs="Arial"/>
          <w:sz w:val="10"/>
          <w:szCs w:val="10"/>
        </w:rPr>
      </w:pPr>
    </w:p>
    <w:p w14:paraId="7B94BC66" w14:textId="77777777" w:rsidR="00B42206" w:rsidRPr="002224FB" w:rsidRDefault="00B42206" w:rsidP="00DC5361">
      <w:pPr>
        <w:rPr>
          <w:rFonts w:ascii="Arial" w:hAnsi="Arial" w:cs="Arial"/>
          <w:sz w:val="10"/>
          <w:szCs w:val="10"/>
        </w:rPr>
      </w:pPr>
    </w:p>
    <w:p w14:paraId="06F7F894" w14:textId="025BE455" w:rsidR="00D717AB" w:rsidRDefault="00D717AB" w:rsidP="00DC5361">
      <w:pPr>
        <w:rPr>
          <w:rFonts w:ascii="Arial" w:hAnsi="Arial" w:cs="Arial"/>
          <w:szCs w:val="20"/>
        </w:rPr>
      </w:pPr>
    </w:p>
    <w:p w14:paraId="63EEE8FA" w14:textId="06C34D7A" w:rsidR="00F91278" w:rsidRPr="003F10DD" w:rsidRDefault="00F91278" w:rsidP="002224FB">
      <w:pPr>
        <w:rPr>
          <w:rFonts w:ascii="Arial" w:hAnsi="Arial" w:cs="Arial"/>
          <w:szCs w:val="20"/>
        </w:rPr>
      </w:pPr>
    </w:p>
    <w:sectPr w:rsidR="00F91278" w:rsidRPr="003F10D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2240" w14:textId="77777777" w:rsidR="00386B43" w:rsidRDefault="00386B43" w:rsidP="00DC5361">
      <w:pPr>
        <w:spacing w:after="0" w:line="240" w:lineRule="auto"/>
      </w:pPr>
      <w:r>
        <w:separator/>
      </w:r>
    </w:p>
  </w:endnote>
  <w:endnote w:type="continuationSeparator" w:id="0">
    <w:p w14:paraId="24AEACFD" w14:textId="77777777" w:rsidR="00386B43" w:rsidRDefault="00386B43" w:rsidP="00DC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864080"/>
      <w:docPartObj>
        <w:docPartGallery w:val="Page Numbers (Bottom of Page)"/>
        <w:docPartUnique/>
      </w:docPartObj>
    </w:sdtPr>
    <w:sdtEndPr/>
    <w:sdtContent>
      <w:p w14:paraId="26D315F2" w14:textId="77777777" w:rsidR="007F4329" w:rsidRDefault="007F4329">
        <w:pPr>
          <w:pStyle w:val="Fuzeile"/>
          <w:jc w:val="right"/>
        </w:pPr>
        <w:r>
          <w:fldChar w:fldCharType="begin"/>
        </w:r>
        <w:r>
          <w:instrText>PAGE   \* MERGEFORMAT</w:instrText>
        </w:r>
        <w:r>
          <w:fldChar w:fldCharType="separate"/>
        </w:r>
        <w:r>
          <w:t>2</w:t>
        </w:r>
        <w:r>
          <w:fldChar w:fldCharType="end"/>
        </w:r>
      </w:p>
    </w:sdtContent>
  </w:sdt>
  <w:p w14:paraId="0AFDBF5B" w14:textId="77777777" w:rsidR="007F4329" w:rsidRDefault="007F4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CAD3B" w14:textId="77777777" w:rsidR="00386B43" w:rsidRDefault="00386B43" w:rsidP="00DC5361">
      <w:pPr>
        <w:spacing w:after="0" w:line="240" w:lineRule="auto"/>
      </w:pPr>
      <w:r>
        <w:separator/>
      </w:r>
    </w:p>
  </w:footnote>
  <w:footnote w:type="continuationSeparator" w:id="0">
    <w:p w14:paraId="75734376" w14:textId="77777777" w:rsidR="00386B43" w:rsidRDefault="00386B43" w:rsidP="00DC5361">
      <w:pPr>
        <w:spacing w:after="0" w:line="240" w:lineRule="auto"/>
      </w:pPr>
      <w:r>
        <w:continuationSeparator/>
      </w:r>
    </w:p>
  </w:footnote>
  <w:footnote w:id="1">
    <w:p w14:paraId="299E3EFE" w14:textId="77777777" w:rsidR="00DC5361" w:rsidRDefault="00DC5361">
      <w:pPr>
        <w:pStyle w:val="Funotentext"/>
      </w:pPr>
      <w:r>
        <w:rPr>
          <w:rStyle w:val="Funotenzeichen"/>
        </w:rPr>
        <w:footnoteRef/>
      </w:r>
      <w:r>
        <w:t xml:space="preserve"> </w:t>
      </w:r>
      <w:r w:rsidR="00BF3141">
        <w:t xml:space="preserve">Siehe gesamte Ziffer 2.5: </w:t>
      </w:r>
      <w:r w:rsidRPr="00DC5361">
        <w:t>https://eiti.org/eiti-requirements-2019</w:t>
      </w:r>
    </w:p>
  </w:footnote>
  <w:footnote w:id="2">
    <w:p w14:paraId="36E36C38" w14:textId="77777777" w:rsidR="00640A5B" w:rsidRPr="00F925D2" w:rsidRDefault="00640A5B">
      <w:pPr>
        <w:pStyle w:val="Funotentext"/>
      </w:pPr>
      <w:r>
        <w:rPr>
          <w:rStyle w:val="Funotenzeichen"/>
        </w:rPr>
        <w:footnoteRef/>
      </w:r>
      <w:r>
        <w:t xml:space="preserve"> </w:t>
      </w:r>
      <w:r w:rsidR="005969A3">
        <w:t xml:space="preserve">EuGH-Urteil v. 22.11.22, </w:t>
      </w:r>
      <w:r w:rsidRPr="00F925D2">
        <w:t>Az. C-37/20, C-601/20</w:t>
      </w:r>
    </w:p>
  </w:footnote>
  <w:footnote w:id="3">
    <w:p w14:paraId="4DBB60EE" w14:textId="77777777" w:rsidR="00F97705" w:rsidRPr="00F925D2" w:rsidRDefault="00F97705" w:rsidP="00F97705">
      <w:pPr>
        <w:pStyle w:val="Funotentext"/>
      </w:pPr>
      <w:r w:rsidRPr="00F925D2">
        <w:rPr>
          <w:rStyle w:val="Funotenzeichen"/>
        </w:rPr>
        <w:footnoteRef/>
      </w:r>
      <w:r w:rsidRPr="00F925D2">
        <w:t xml:space="preserve"> https://www.transparenzregister.de/treg/de/start?1</w:t>
      </w:r>
    </w:p>
  </w:footnote>
  <w:footnote w:id="4">
    <w:p w14:paraId="28827A55" w14:textId="77777777" w:rsidR="00F97705" w:rsidRDefault="00F97705">
      <w:pPr>
        <w:pStyle w:val="Funotentext"/>
      </w:pPr>
      <w:r w:rsidRPr="00F925D2">
        <w:rPr>
          <w:rStyle w:val="Funotenzeichen"/>
        </w:rPr>
        <w:footnoteRef/>
      </w:r>
      <w:r w:rsidRPr="00F925D2">
        <w:t xml:space="preserve"> </w:t>
      </w:r>
      <w:r w:rsidR="00F925D2" w:rsidRPr="00F925D2">
        <w:t>https</w:t>
      </w:r>
      <w:r w:rsidR="00F925D2">
        <w:t>://rohstofftransparenz.de/rohstoffgewinnung/wirtschaftlich-berechtigter/</w:t>
      </w:r>
    </w:p>
  </w:footnote>
  <w:footnote w:id="5">
    <w:p w14:paraId="309BC9A0" w14:textId="77777777" w:rsidR="00BF3141" w:rsidRDefault="00BF3141">
      <w:pPr>
        <w:pStyle w:val="Funotentext"/>
      </w:pPr>
      <w:r>
        <w:rPr>
          <w:rStyle w:val="Funotenzeichen"/>
        </w:rPr>
        <w:footnoteRef/>
      </w:r>
      <w:r>
        <w:t xml:space="preserve"> </w:t>
      </w:r>
      <w:r w:rsidR="00110D16">
        <w:t>Erläuterungen</w:t>
      </w:r>
      <w:r>
        <w:t xml:space="preserve"> des Internationalen Sekretariats vom 25.7.23 (Email) und vom 15.8.23 (Email)</w:t>
      </w:r>
    </w:p>
  </w:footnote>
  <w:footnote w:id="6">
    <w:p w14:paraId="3DDD3EBB" w14:textId="77777777" w:rsidR="004D1B83" w:rsidRDefault="004D1B83" w:rsidP="004D1B83">
      <w:pPr>
        <w:pStyle w:val="Funotentext"/>
      </w:pPr>
      <w:r>
        <w:rPr>
          <w:rStyle w:val="Funotenzeichen"/>
        </w:rPr>
        <w:footnoteRef/>
      </w:r>
      <w:r>
        <w:t xml:space="preserve"> </w:t>
      </w:r>
      <w:r w:rsidRPr="00320DDA">
        <w:t>https://www.transparenzregister.de/treg/de/</w:t>
      </w:r>
      <w:r>
        <w:t>start</w:t>
      </w:r>
    </w:p>
  </w:footnote>
  <w:footnote w:id="7">
    <w:p w14:paraId="66F6CC20" w14:textId="77777777" w:rsidR="004D1B83" w:rsidRDefault="004D1B83" w:rsidP="004D1B83">
      <w:pPr>
        <w:pStyle w:val="Funotentext"/>
      </w:pPr>
      <w:r>
        <w:rPr>
          <w:rStyle w:val="Funotenzeichen"/>
        </w:rPr>
        <w:footnoteRef/>
      </w:r>
      <w:r>
        <w:t xml:space="preserve"> Vgl. Art. 30 Abs. 3, Abs. 5, Art. 31 Abs. 4 der RL EU 2015/849 (GWRL 2015).</w:t>
      </w:r>
    </w:p>
  </w:footnote>
  <w:footnote w:id="8">
    <w:p w14:paraId="2501CAFB" w14:textId="77777777" w:rsidR="004D1B83" w:rsidRPr="00B8694F" w:rsidRDefault="004D1B83" w:rsidP="004D1B83">
      <w:pPr>
        <w:pStyle w:val="Funotentext"/>
      </w:pPr>
      <w:r>
        <w:rPr>
          <w:rStyle w:val="Funotenzeichen"/>
        </w:rPr>
        <w:footnoteRef/>
      </w:r>
      <w:r w:rsidRPr="00B8694F">
        <w:t xml:space="preserve"> Art. 30 Abs. 1 </w:t>
      </w:r>
      <w:proofErr w:type="spellStart"/>
      <w:r w:rsidRPr="00B8694F">
        <w:t>UAbs</w:t>
      </w:r>
      <w:proofErr w:type="spellEnd"/>
      <w:r w:rsidRPr="00B8694F">
        <w:t xml:space="preserve">. 1 </w:t>
      </w:r>
      <w:proofErr w:type="spellStart"/>
      <w:r w:rsidRPr="00B8694F">
        <w:t>lit</w:t>
      </w:r>
      <w:proofErr w:type="spellEnd"/>
      <w:r w:rsidRPr="00B8694F">
        <w:t>. c GWRL 2015</w:t>
      </w:r>
      <w:r>
        <w:t>.</w:t>
      </w:r>
    </w:p>
  </w:footnote>
  <w:footnote w:id="9">
    <w:p w14:paraId="50D4D37A" w14:textId="77777777" w:rsidR="004D1B83" w:rsidRDefault="004D1B83" w:rsidP="004D1B83">
      <w:pPr>
        <w:pStyle w:val="Funotentext"/>
      </w:pPr>
      <w:r>
        <w:rPr>
          <w:rStyle w:val="Funotenzeichen"/>
        </w:rPr>
        <w:footnoteRef/>
      </w:r>
      <w:r>
        <w:t xml:space="preserve"> Deutscher Bundestag, PE 6 – 3000 – 075/22, S. 6, 9.</w:t>
      </w:r>
    </w:p>
  </w:footnote>
  <w:footnote w:id="10">
    <w:p w14:paraId="0FC1D66D" w14:textId="77777777" w:rsidR="004D1B83" w:rsidRPr="003D4E59" w:rsidRDefault="004D1B83" w:rsidP="004D1B83">
      <w:pPr>
        <w:pStyle w:val="Funotentext"/>
      </w:pPr>
      <w:r w:rsidRPr="00332808">
        <w:rPr>
          <w:rStyle w:val="Funotenzeichen"/>
        </w:rPr>
        <w:footnoteRef/>
      </w:r>
      <w:r w:rsidRPr="00332808">
        <w:t xml:space="preserve"> Deutscher Bundestag, WD 4 – 3000 – 044/22, S. 1, S. 6f.</w:t>
      </w:r>
    </w:p>
  </w:footnote>
  <w:footnote w:id="11">
    <w:p w14:paraId="21AA323A" w14:textId="77777777" w:rsidR="004D1B83" w:rsidRDefault="004D1B83" w:rsidP="004D1B83">
      <w:pPr>
        <w:pStyle w:val="Funotentext"/>
      </w:pPr>
      <w:r>
        <w:rPr>
          <w:rStyle w:val="Funotenzeichen"/>
        </w:rPr>
        <w:footnoteRef/>
      </w:r>
      <w:r>
        <w:t xml:space="preserve"> EuGH-Urteil v. 22.11.22, </w:t>
      </w:r>
      <w:r w:rsidRPr="00F925D2">
        <w:t>Az. C-37/20, C-601/20</w:t>
      </w:r>
      <w:r>
        <w:t xml:space="preserve">, </w:t>
      </w:r>
      <w:proofErr w:type="spellStart"/>
      <w:r>
        <w:t>Rn</w:t>
      </w:r>
      <w:proofErr w:type="spellEnd"/>
      <w:r>
        <w:t>. 88.</w:t>
      </w:r>
    </w:p>
  </w:footnote>
  <w:footnote w:id="12">
    <w:p w14:paraId="19559AE9" w14:textId="77777777" w:rsidR="004D1B83" w:rsidRDefault="004D1B83" w:rsidP="004D1B83">
      <w:pPr>
        <w:pStyle w:val="Funotentext"/>
      </w:pPr>
      <w:r>
        <w:rPr>
          <w:rStyle w:val="Funotenzeichen"/>
        </w:rPr>
        <w:footnoteRef/>
      </w:r>
      <w:r>
        <w:t xml:space="preserve"> Deutscher Bundestag, PE 6 – 3000 – 075/22, S. 19 verweist auch auf die Bedenken des Europäischen Datenschutzbeauftragten zur GWRL 2018, die die Gefahr berge, unionsweit kein ausreichendes Datenschutzniveau zu gewährleisten: EDSB. Stellungnahme 1/2017, 2.2.17, </w:t>
      </w:r>
      <w:proofErr w:type="spellStart"/>
      <w:r>
        <w:t>Rn</w:t>
      </w:r>
      <w:proofErr w:type="spellEnd"/>
      <w:r>
        <w:t xml:space="preserve"> 40f, </w:t>
      </w:r>
      <w:proofErr w:type="spellStart"/>
      <w:r>
        <w:t>Rn</w:t>
      </w:r>
      <w:proofErr w:type="spellEnd"/>
      <w:r>
        <w:t xml:space="preserve"> 53ff, BT </w:t>
      </w:r>
      <w:proofErr w:type="spellStart"/>
      <w:r>
        <w:t>Pe</w:t>
      </w:r>
      <w:proofErr w:type="spellEnd"/>
      <w:r>
        <w:t xml:space="preserve"> 6 – 3000 – 075/22 S. 19.</w:t>
      </w:r>
    </w:p>
  </w:footnote>
  <w:footnote w:id="13">
    <w:p w14:paraId="0424AD32" w14:textId="77777777" w:rsidR="004D1B83" w:rsidRDefault="004D1B83" w:rsidP="004D1B83">
      <w:pPr>
        <w:pStyle w:val="Funotentext"/>
      </w:pPr>
      <w:r>
        <w:rPr>
          <w:rStyle w:val="Funotenzeichen"/>
        </w:rPr>
        <w:footnoteRef/>
      </w:r>
      <w:r>
        <w:t xml:space="preserve"> EuGH-Urteil v. 22.11.22, </w:t>
      </w:r>
      <w:r w:rsidRPr="00F925D2">
        <w:t>Az. C-37/20, C-601/20</w:t>
      </w:r>
      <w:r>
        <w:t xml:space="preserve">, </w:t>
      </w:r>
      <w:proofErr w:type="spellStart"/>
      <w:r>
        <w:t>Rn</w:t>
      </w:r>
      <w:proofErr w:type="spellEnd"/>
      <w:r>
        <w:t>. 44, 76.</w:t>
      </w:r>
    </w:p>
  </w:footnote>
  <w:footnote w:id="14">
    <w:p w14:paraId="0E1514C2" w14:textId="77777777" w:rsidR="004D1B83" w:rsidRDefault="004D1B83" w:rsidP="004D1B83">
      <w:pPr>
        <w:pStyle w:val="Funotentext"/>
      </w:pPr>
      <w:r>
        <w:rPr>
          <w:rStyle w:val="Funotenzeichen"/>
        </w:rPr>
        <w:footnoteRef/>
      </w:r>
      <w:r>
        <w:t xml:space="preserve"> </w:t>
      </w:r>
      <w:r w:rsidRPr="00D80053">
        <w:rPr>
          <w:rFonts w:ascii="Arial" w:hAnsi="Arial" w:cs="Arial"/>
        </w:rPr>
        <w:t>Schwarze/Becker/Hatje/</w:t>
      </w:r>
      <w:proofErr w:type="spellStart"/>
      <w:r w:rsidRPr="00D80053">
        <w:rPr>
          <w:rFonts w:ascii="Arial" w:hAnsi="Arial" w:cs="Arial"/>
        </w:rPr>
        <w:t>Schoo</w:t>
      </w:r>
      <w:proofErr w:type="spellEnd"/>
      <w:r w:rsidRPr="00D80053">
        <w:rPr>
          <w:rFonts w:ascii="Arial" w:hAnsi="Arial" w:cs="Arial"/>
        </w:rPr>
        <w:t xml:space="preserve">, EU-Kommentar, AEUV Art. 267 </w:t>
      </w:r>
      <w:proofErr w:type="spellStart"/>
      <w:r w:rsidRPr="00D80053">
        <w:rPr>
          <w:rFonts w:ascii="Arial" w:hAnsi="Arial" w:cs="Arial"/>
        </w:rPr>
        <w:t>Rn</w:t>
      </w:r>
      <w:proofErr w:type="spellEnd"/>
      <w:r w:rsidRPr="00D80053">
        <w:rPr>
          <w:rFonts w:ascii="Arial" w:hAnsi="Arial" w:cs="Arial"/>
        </w:rPr>
        <w:t xml:space="preserve">. 70, </w:t>
      </w:r>
      <w:proofErr w:type="spellStart"/>
      <w:r w:rsidRPr="00D80053">
        <w:rPr>
          <w:rFonts w:ascii="Arial" w:hAnsi="Arial" w:cs="Arial"/>
        </w:rPr>
        <w:t>beck</w:t>
      </w:r>
      <w:proofErr w:type="spellEnd"/>
      <w:r w:rsidRPr="00D80053">
        <w:rPr>
          <w:rFonts w:ascii="Arial" w:hAnsi="Arial" w:cs="Arial"/>
        </w:rPr>
        <w:t>-online</w:t>
      </w:r>
      <w:r>
        <w:rPr>
          <w:rFonts w:ascii="Arial" w:hAnsi="Arial" w:cs="Arial"/>
        </w:rPr>
        <w:t>.</w:t>
      </w:r>
    </w:p>
  </w:footnote>
  <w:footnote w:id="15">
    <w:p w14:paraId="722E9EC7" w14:textId="77777777" w:rsidR="006B7255" w:rsidRDefault="006B7255" w:rsidP="006B7255">
      <w:pPr>
        <w:pStyle w:val="Funotentext"/>
      </w:pPr>
      <w:r>
        <w:rPr>
          <w:rStyle w:val="Funotenzeichen"/>
        </w:rPr>
        <w:footnoteRef/>
      </w:r>
      <w:r>
        <w:t xml:space="preserve"> Deutscher Bundestag, PE 6 – 3000 – 075/22, S. 16 </w:t>
      </w:r>
      <w:proofErr w:type="spellStart"/>
      <w:r>
        <w:t>m.w.N</w:t>
      </w:r>
      <w:proofErr w:type="spellEnd"/>
      <w:r>
        <w:t>.</w:t>
      </w:r>
    </w:p>
  </w:footnote>
  <w:footnote w:id="16">
    <w:p w14:paraId="6799087E" w14:textId="77777777" w:rsidR="004D1B83" w:rsidRDefault="004D1B83" w:rsidP="004D1B83">
      <w:pPr>
        <w:pStyle w:val="Funotentext"/>
      </w:pPr>
      <w:r>
        <w:rPr>
          <w:rStyle w:val="Funotenzeichen"/>
        </w:rPr>
        <w:footnoteRef/>
      </w:r>
      <w:r>
        <w:t xml:space="preserve"> Deutscher Bundestag, PE 6 – 3000 – 075/22, S. 16f. </w:t>
      </w:r>
      <w:proofErr w:type="spellStart"/>
      <w:r>
        <w:t>m.w.N</w:t>
      </w:r>
      <w:proofErr w:type="spellEnd"/>
      <w:r>
        <w:t>.</w:t>
      </w:r>
    </w:p>
  </w:footnote>
  <w:footnote w:id="17">
    <w:p w14:paraId="74E7C122" w14:textId="77777777" w:rsidR="004D1B83" w:rsidRPr="0032644D" w:rsidRDefault="004D1B83" w:rsidP="004D1B83">
      <w:pPr>
        <w:pStyle w:val="Funotentext"/>
      </w:pPr>
      <w:r>
        <w:rPr>
          <w:rStyle w:val="Funotenzeichen"/>
        </w:rPr>
        <w:footnoteRef/>
      </w:r>
      <w:r w:rsidRPr="0032644D">
        <w:t xml:space="preserve"> </w:t>
      </w:r>
      <w:r>
        <w:t xml:space="preserve">Siehe Hinweise des Transparenzregisters unter: </w:t>
      </w:r>
      <w:r w:rsidRPr="0032644D">
        <w:t>https://www.transparenzregister.de/treg/de/hilfe?3#faq3</w:t>
      </w:r>
    </w:p>
  </w:footnote>
  <w:footnote w:id="18">
    <w:p w14:paraId="79E91CC0" w14:textId="77777777" w:rsidR="004D1B83" w:rsidRPr="004D1B83" w:rsidRDefault="004D1B83" w:rsidP="004D1B83">
      <w:pPr>
        <w:pStyle w:val="Funotentext"/>
        <w:rPr>
          <w:lang w:val="en-GB"/>
        </w:rPr>
      </w:pPr>
      <w:r>
        <w:rPr>
          <w:rStyle w:val="Funotenzeichen"/>
        </w:rPr>
        <w:footnoteRef/>
      </w:r>
      <w:r w:rsidRPr="004D1B83">
        <w:rPr>
          <w:lang w:val="en-GB"/>
        </w:rPr>
        <w:t xml:space="preserve"> </w:t>
      </w:r>
      <w:proofErr w:type="spellStart"/>
      <w:r w:rsidRPr="004D1B83">
        <w:rPr>
          <w:lang w:val="en-GB"/>
        </w:rPr>
        <w:t>Vgl</w:t>
      </w:r>
      <w:proofErr w:type="spellEnd"/>
      <w:r w:rsidRPr="004D1B83">
        <w:rPr>
          <w:lang w:val="en-GB"/>
        </w:rPr>
        <w:t xml:space="preserve">. </w:t>
      </w:r>
      <w:proofErr w:type="spellStart"/>
      <w:r w:rsidRPr="004D1B83">
        <w:rPr>
          <w:lang w:val="en-GB"/>
        </w:rPr>
        <w:t>EuGH</w:t>
      </w:r>
      <w:proofErr w:type="spellEnd"/>
      <w:r w:rsidRPr="004D1B83">
        <w:rPr>
          <w:lang w:val="en-GB"/>
        </w:rPr>
        <w:t xml:space="preserve"> </w:t>
      </w:r>
      <w:proofErr w:type="spellStart"/>
      <w:r w:rsidRPr="004D1B83">
        <w:rPr>
          <w:lang w:val="en-GB"/>
        </w:rPr>
        <w:t>a.a.O</w:t>
      </w:r>
      <w:proofErr w:type="spellEnd"/>
      <w:r w:rsidRPr="004D1B83">
        <w:rPr>
          <w:lang w:val="en-GB"/>
        </w:rPr>
        <w:t>. Rn 74.</w:t>
      </w:r>
    </w:p>
  </w:footnote>
  <w:footnote w:id="19">
    <w:p w14:paraId="7F00E510" w14:textId="77777777" w:rsidR="004D1B83" w:rsidRDefault="004D1B83" w:rsidP="004D1B83">
      <w:pPr>
        <w:pStyle w:val="Funotentext"/>
      </w:pPr>
      <w:r>
        <w:rPr>
          <w:rStyle w:val="Funotenzeichen"/>
        </w:rPr>
        <w:footnoteRef/>
      </w:r>
      <w:r>
        <w:t xml:space="preserve"> Siehe Hinweise des Transparenzregisters unter: </w:t>
      </w:r>
      <w:r w:rsidRPr="0032644D">
        <w:t>https://www.transparenzregister.de/treg/de/hilfe?3#faq3</w:t>
      </w:r>
    </w:p>
  </w:footnote>
  <w:footnote w:id="20">
    <w:p w14:paraId="606085A1" w14:textId="77777777" w:rsidR="004D1B83" w:rsidRDefault="004D1B83" w:rsidP="004D1B83">
      <w:pPr>
        <w:pStyle w:val="Funotentext"/>
        <w:jc w:val="both"/>
      </w:pPr>
      <w:r>
        <w:rPr>
          <w:rStyle w:val="Funotenzeichen"/>
        </w:rPr>
        <w:footnoteRef/>
      </w:r>
      <w:r>
        <w:t xml:space="preserve"> EuGH-Urteil v. 22.11.22, </w:t>
      </w:r>
      <w:r w:rsidRPr="00F925D2">
        <w:t>Az. C-37/20, C-601/20</w:t>
      </w:r>
      <w:r>
        <w:t xml:space="preserve">, </w:t>
      </w:r>
      <w:proofErr w:type="spellStart"/>
      <w:r>
        <w:t>Rn</w:t>
      </w:r>
      <w:proofErr w:type="spellEnd"/>
      <w:r>
        <w:t>. 74.</w:t>
      </w:r>
    </w:p>
  </w:footnote>
  <w:footnote w:id="21">
    <w:p w14:paraId="71F36433" w14:textId="77777777" w:rsidR="004D1B83" w:rsidRDefault="004D1B83" w:rsidP="004D1B83">
      <w:pPr>
        <w:pStyle w:val="Funotentext"/>
      </w:pPr>
      <w:r>
        <w:rPr>
          <w:rStyle w:val="Funotenzeichen"/>
        </w:rPr>
        <w:footnoteRef/>
      </w:r>
      <w:r>
        <w:t xml:space="preserve"> </w:t>
      </w:r>
      <w:r w:rsidRPr="00694299">
        <w:t>https://www.transparenzregister.de/treg/de/hilfe?3#faq3</w:t>
      </w:r>
    </w:p>
  </w:footnote>
  <w:footnote w:id="22">
    <w:p w14:paraId="2157FC41" w14:textId="77777777" w:rsidR="004D1B83" w:rsidRDefault="004D1B83" w:rsidP="004D1B83">
      <w:pPr>
        <w:pStyle w:val="Funotentext"/>
      </w:pPr>
      <w:r>
        <w:rPr>
          <w:rStyle w:val="Funotenzeichen"/>
        </w:rPr>
        <w:footnoteRef/>
      </w:r>
      <w:r>
        <w:t xml:space="preserve"> Vgl. Deutscher Bundestag, PE 6 – 3000 – 075/22, S. 28, 30.</w:t>
      </w:r>
    </w:p>
  </w:footnote>
  <w:footnote w:id="23">
    <w:p w14:paraId="477509AD" w14:textId="77777777" w:rsidR="004D1B83" w:rsidRDefault="004D1B83" w:rsidP="004D1B83">
      <w:pPr>
        <w:pStyle w:val="Funotentext"/>
      </w:pPr>
      <w:r>
        <w:rPr>
          <w:rStyle w:val="Funotenzeichen"/>
        </w:rPr>
        <w:footnoteRef/>
      </w:r>
      <w:r>
        <w:t xml:space="preserve"> Deutscher Bundestag, PE 6 – 3000 – 075/22, S. 33 mit Verweis auf § 23 GwG 2017 und § 8 </w:t>
      </w:r>
      <w:proofErr w:type="spellStart"/>
      <w:r>
        <w:t>TrEinV</w:t>
      </w:r>
      <w:proofErr w:type="spellEnd"/>
      <w:r>
        <w:t xml:space="preserve"> 2017.</w:t>
      </w:r>
    </w:p>
  </w:footnote>
  <w:footnote w:id="24">
    <w:p w14:paraId="1BC7D183" w14:textId="77777777" w:rsidR="004D1B83" w:rsidRDefault="004D1B83" w:rsidP="004D1B83">
      <w:pPr>
        <w:pStyle w:val="Funotentext"/>
      </w:pPr>
      <w:r>
        <w:rPr>
          <w:rStyle w:val="Funotenzeichen"/>
        </w:rPr>
        <w:footnoteRef/>
      </w:r>
      <w:r>
        <w:t xml:space="preserve"> Deutscher Bundestag, PE 6 – 3000 – 075/22, S: 17, 38.</w:t>
      </w:r>
    </w:p>
  </w:footnote>
  <w:footnote w:id="25">
    <w:p w14:paraId="5BBD3CD2" w14:textId="77777777" w:rsidR="004D1B83" w:rsidRDefault="004D1B83" w:rsidP="004D1B83">
      <w:pPr>
        <w:pStyle w:val="Funotentext"/>
      </w:pPr>
      <w:r>
        <w:rPr>
          <w:rStyle w:val="Funotenzeichen"/>
        </w:rPr>
        <w:footnoteRef/>
      </w:r>
      <w:r>
        <w:t xml:space="preserve"> Deutscher Bundestag, PE 6 – 3000 – 075/22, S. 30f </w:t>
      </w:r>
      <w:proofErr w:type="spellStart"/>
      <w:r>
        <w:t>m.w.N</w:t>
      </w:r>
      <w:proofErr w:type="spellEnd"/>
      <w:r>
        <w:t>.</w:t>
      </w:r>
    </w:p>
  </w:footnote>
  <w:footnote w:id="26">
    <w:p w14:paraId="05D320E8" w14:textId="77777777" w:rsidR="004D1B83" w:rsidRDefault="004D1B83" w:rsidP="004D1B83">
      <w:pPr>
        <w:pStyle w:val="Funotentext"/>
      </w:pPr>
      <w:r>
        <w:rPr>
          <w:rStyle w:val="Funotenzeichen"/>
        </w:rPr>
        <w:footnoteRef/>
      </w:r>
      <w:r>
        <w:t xml:space="preserve"> Deutscher Bundestag, PE 6 – 3000 – 075/22, S. 27.</w:t>
      </w:r>
    </w:p>
  </w:footnote>
  <w:footnote w:id="27">
    <w:p w14:paraId="28D8C698" w14:textId="7D512D80" w:rsidR="009C1986" w:rsidRDefault="009C1986" w:rsidP="009C1986">
      <w:pPr>
        <w:pStyle w:val="Funotentext"/>
      </w:pPr>
      <w:r>
        <w:rPr>
          <w:rStyle w:val="Funotenzeichen"/>
        </w:rPr>
        <w:footnoteRef/>
      </w:r>
      <w:r>
        <w:t xml:space="preserve"> Nach Information des Internationalen Sekretariats seien Angaben über wirtschaftlich Berechtigte in den genannten Ländern weiterhin unbeschränkt öffentlich zugänglich und die Zwecke der „Register“ dort teilweise weiter gefasst. </w:t>
      </w:r>
    </w:p>
  </w:footnote>
  <w:footnote w:id="28">
    <w:p w14:paraId="103074B8" w14:textId="77777777" w:rsidR="008B0521" w:rsidRPr="00B92CF1" w:rsidRDefault="008B0521">
      <w:pPr>
        <w:pStyle w:val="Funotentext"/>
      </w:pPr>
      <w:r>
        <w:rPr>
          <w:rStyle w:val="Funotenzeichen"/>
        </w:rPr>
        <w:footnoteRef/>
      </w:r>
      <w:r w:rsidRPr="00B92CF1">
        <w:t xml:space="preserve"> BGH NJW 2015, 2116; BeckOK </w:t>
      </w:r>
      <w:r w:rsidR="00B92CF1" w:rsidRPr="00B92CF1">
        <w:t xml:space="preserve">15.1.23 HGB § 8 </w:t>
      </w:r>
      <w:proofErr w:type="spellStart"/>
      <w:r w:rsidR="00B92CF1" w:rsidRPr="00B92CF1">
        <w:t>Rn</w:t>
      </w:r>
      <w:proofErr w:type="spellEnd"/>
      <w:r w:rsidR="00B92CF1" w:rsidRPr="00B92CF1">
        <w:t xml:space="preserve"> 1 </w:t>
      </w:r>
      <w:proofErr w:type="spellStart"/>
      <w:r w:rsidR="00B92CF1" w:rsidRPr="00B92CF1">
        <w:t>mw</w:t>
      </w:r>
      <w:r w:rsidR="00B92CF1">
        <w:t>N</w:t>
      </w:r>
      <w:proofErr w:type="spellEnd"/>
      <w:r w:rsidR="00B92CF1">
        <w:t xml:space="preserve"> </w:t>
      </w:r>
      <w:proofErr w:type="spellStart"/>
      <w:r w:rsidR="00B92CF1">
        <w:t>Rspr</w:t>
      </w:r>
      <w:proofErr w:type="spellEnd"/>
      <w:r w:rsidR="00B92CF1">
        <w:t>.</w:t>
      </w:r>
    </w:p>
  </w:footnote>
  <w:footnote w:id="29">
    <w:p w14:paraId="2DFA830C" w14:textId="77777777" w:rsidR="00B92CF1" w:rsidRPr="00DF35AB" w:rsidRDefault="00B92CF1">
      <w:pPr>
        <w:pStyle w:val="Funotentext"/>
      </w:pPr>
      <w:r>
        <w:rPr>
          <w:rStyle w:val="Funotenzeichen"/>
        </w:rPr>
        <w:footnoteRef/>
      </w:r>
      <w:r w:rsidRPr="00DF35AB">
        <w:t xml:space="preserve"> BeckOK 15.1.23 HGB § 8 </w:t>
      </w:r>
      <w:proofErr w:type="spellStart"/>
      <w:r w:rsidRPr="00DF35AB">
        <w:t>Rn</w:t>
      </w:r>
      <w:proofErr w:type="spellEnd"/>
      <w:r w:rsidRPr="00DF35AB">
        <w:t xml:space="preserve"> 1ff.</w:t>
      </w:r>
    </w:p>
  </w:footnote>
  <w:footnote w:id="30">
    <w:p w14:paraId="7E8232C8" w14:textId="77777777" w:rsidR="001C3D57" w:rsidRPr="00503AB2" w:rsidRDefault="001C3D57" w:rsidP="00503AB2">
      <w:pPr>
        <w:pStyle w:val="Funotentext"/>
      </w:pPr>
      <w:r w:rsidRPr="00503AB2">
        <w:rPr>
          <w:rStyle w:val="Funotenzeichen"/>
        </w:rPr>
        <w:footnoteRef/>
      </w:r>
      <w:r w:rsidRPr="00503AB2">
        <w:t xml:space="preserve"> </w:t>
      </w:r>
      <w:r w:rsidR="00503AB2" w:rsidRPr="00503AB2">
        <w:t xml:space="preserve">G. zur Umsetzung der Vierten EU-Geldwäscherichtlinie, zur Ausführung der EU-Geldtransferverordnung und zur Neuorganisation der Zentralstelle für Finanztransaktionsuntersuchungen, v. 23.6.17, </w:t>
      </w:r>
      <w:r w:rsidRPr="00503AB2">
        <w:t xml:space="preserve">BGBl. </w:t>
      </w:r>
      <w:r w:rsidRPr="00DF35AB">
        <w:t>I 2017, 1822.</w:t>
      </w:r>
    </w:p>
  </w:footnote>
  <w:footnote w:id="31">
    <w:p w14:paraId="63E3112C" w14:textId="77777777" w:rsidR="00503AB2" w:rsidRDefault="00503AB2">
      <w:pPr>
        <w:pStyle w:val="Funotentext"/>
      </w:pPr>
      <w:r>
        <w:rPr>
          <w:rStyle w:val="Funotenzeichen"/>
        </w:rPr>
        <w:footnoteRef/>
      </w:r>
      <w:r>
        <w:t xml:space="preserve"> Frank/Schaub in </w:t>
      </w:r>
      <w:proofErr w:type="spellStart"/>
      <w:r>
        <w:t>DStR</w:t>
      </w:r>
      <w:proofErr w:type="spellEnd"/>
      <w:r>
        <w:t xml:space="preserve"> 2018, 1822.</w:t>
      </w:r>
    </w:p>
  </w:footnote>
  <w:footnote w:id="32">
    <w:p w14:paraId="1916C231" w14:textId="77777777" w:rsidR="001C3D57" w:rsidRPr="00503AB2" w:rsidRDefault="001C3D57">
      <w:pPr>
        <w:pStyle w:val="Funotentext"/>
      </w:pPr>
      <w:r w:rsidRPr="00503AB2">
        <w:rPr>
          <w:rStyle w:val="Funotenzeichen"/>
        </w:rPr>
        <w:footnoteRef/>
      </w:r>
      <w:r w:rsidRPr="00503AB2">
        <w:t xml:space="preserve"> </w:t>
      </w:r>
      <w:r w:rsidR="00503AB2" w:rsidRPr="00503AB2">
        <w:t>https://www.gesetze-im-internet.de/geslv/BJNR087000018.html.</w:t>
      </w:r>
    </w:p>
  </w:footnote>
  <w:footnote w:id="33">
    <w:p w14:paraId="19249949" w14:textId="77777777" w:rsidR="00B92CF1" w:rsidRPr="001577C9" w:rsidRDefault="00B92CF1">
      <w:pPr>
        <w:pStyle w:val="Funotentext"/>
      </w:pPr>
      <w:r w:rsidRPr="00503AB2">
        <w:rPr>
          <w:rStyle w:val="Funotenzeichen"/>
        </w:rPr>
        <w:footnoteRef/>
      </w:r>
      <w:r w:rsidRPr="00503AB2">
        <w:t xml:space="preserve"> Für das</w:t>
      </w:r>
      <w:r w:rsidRPr="00B92CF1">
        <w:t xml:space="preserve"> Vereinsregister gem. </w:t>
      </w:r>
      <w:r w:rsidRPr="001577C9">
        <w:t>§ 73 Abs. 3 S. 1 BGB</w:t>
      </w:r>
      <w:r w:rsidR="001577C9">
        <w:t>;</w:t>
      </w:r>
      <w:r w:rsidRPr="001577C9">
        <w:t xml:space="preserve"> </w:t>
      </w:r>
      <w:r w:rsidR="001577C9" w:rsidRPr="001577C9">
        <w:t>vgl. auc</w:t>
      </w:r>
      <w:r w:rsidR="001577C9">
        <w:t>h § 156 Abs. 1 GenG und § 5 Abs. 2 PartGG.</w:t>
      </w:r>
    </w:p>
  </w:footnote>
  <w:footnote w:id="34">
    <w:p w14:paraId="2C1943F0" w14:textId="77777777" w:rsidR="003C036A" w:rsidRPr="001C3D57" w:rsidRDefault="003C036A" w:rsidP="003C036A">
      <w:pPr>
        <w:pStyle w:val="Funotentext"/>
      </w:pPr>
      <w:r>
        <w:rPr>
          <w:rStyle w:val="Funotenzeichen"/>
        </w:rPr>
        <w:footnoteRef/>
      </w:r>
      <w:r w:rsidRPr="001C3D57">
        <w:t xml:space="preserve"> </w:t>
      </w:r>
      <w:r w:rsidRPr="001577C9">
        <w:t>Mü</w:t>
      </w:r>
      <w:r w:rsidR="001C3D57" w:rsidRPr="001577C9">
        <w:t>nchener Kommentar</w:t>
      </w:r>
      <w:r w:rsidRPr="001577C9">
        <w:t xml:space="preserve"> 2021 § 9 HGB </w:t>
      </w:r>
      <w:proofErr w:type="spellStart"/>
      <w:r w:rsidRPr="001577C9">
        <w:t>Rn</w:t>
      </w:r>
      <w:proofErr w:type="spellEnd"/>
      <w:r w:rsidRPr="001577C9">
        <w:t xml:space="preserve"> 6.</w:t>
      </w:r>
    </w:p>
  </w:footnote>
  <w:footnote w:id="35">
    <w:p w14:paraId="60500D6D" w14:textId="77777777" w:rsidR="001577C9" w:rsidRPr="001577C9" w:rsidRDefault="001577C9" w:rsidP="001577C9">
      <w:pPr>
        <w:pStyle w:val="Funotentext"/>
      </w:pPr>
      <w:r>
        <w:rPr>
          <w:rStyle w:val="Funotenzeichen"/>
        </w:rPr>
        <w:footnoteRef/>
      </w:r>
      <w:r w:rsidRPr="001577C9">
        <w:t xml:space="preserve"> https://www.handelsregister.de/rp_web/welcome.xhtml</w:t>
      </w:r>
    </w:p>
  </w:footnote>
  <w:footnote w:id="36">
    <w:p w14:paraId="7A1FF41F" w14:textId="77777777" w:rsidR="008B0521" w:rsidRDefault="008B0521">
      <w:pPr>
        <w:pStyle w:val="Funotentext"/>
      </w:pPr>
      <w:r>
        <w:rPr>
          <w:rStyle w:val="Funotenzeichen"/>
        </w:rPr>
        <w:footnoteRef/>
      </w:r>
      <w:r w:rsidRPr="008B0521">
        <w:t>https://www.unternehmensregister.de/ureg/</w:t>
      </w:r>
    </w:p>
  </w:footnote>
  <w:footnote w:id="37">
    <w:p w14:paraId="36E54E2F" w14:textId="77777777" w:rsidR="00404F73" w:rsidRDefault="00404F73">
      <w:pPr>
        <w:pStyle w:val="Funotentext"/>
      </w:pPr>
      <w:r>
        <w:rPr>
          <w:rStyle w:val="Funotenzeichen"/>
        </w:rPr>
        <w:footnoteRef/>
      </w:r>
      <w:r>
        <w:t xml:space="preserve"> </w:t>
      </w:r>
      <w:r w:rsidRPr="00404F73">
        <w:t>https://neu.insolvenzbekanntmachungen.de/ap/</w:t>
      </w:r>
    </w:p>
  </w:footnote>
  <w:footnote w:id="38">
    <w:p w14:paraId="15F543E8" w14:textId="77777777" w:rsidR="00404F73" w:rsidRDefault="00404F73">
      <w:pPr>
        <w:pStyle w:val="Funotentext"/>
      </w:pPr>
      <w:r>
        <w:rPr>
          <w:rStyle w:val="Funotenzeichen"/>
        </w:rPr>
        <w:footnoteRef/>
      </w:r>
      <w:r>
        <w:t xml:space="preserve"> </w:t>
      </w:r>
      <w:r w:rsidRPr="00404F73">
        <w:t>https://www.vollstreckungsportal.de/auskunft/allg/willkommen.jsf</w:t>
      </w:r>
    </w:p>
  </w:footnote>
  <w:footnote w:id="39">
    <w:p w14:paraId="118C10AF" w14:textId="1E6BBBF5" w:rsidR="00E73246" w:rsidRPr="00D717AB" w:rsidRDefault="00E73246">
      <w:pPr>
        <w:pStyle w:val="Funotentext"/>
        <w:rPr>
          <w:lang w:val="en-US"/>
        </w:rPr>
      </w:pPr>
      <w:r>
        <w:rPr>
          <w:rStyle w:val="Funotenzeichen"/>
        </w:rPr>
        <w:footnoteRef/>
      </w:r>
      <w:r>
        <w:t xml:space="preserve"> Ab bestimmten Wertgrenzen besteht eine Rechtspflicht zur Einsichtnahme in das </w:t>
      </w:r>
      <w:proofErr w:type="spellStart"/>
      <w:r>
        <w:t>WReg</w:t>
      </w:r>
      <w:proofErr w:type="spellEnd"/>
      <w:r>
        <w:t xml:space="preserve"> (vgl. </w:t>
      </w:r>
      <w:r w:rsidRPr="00D717AB">
        <w:rPr>
          <w:lang w:val="en-US"/>
        </w:rPr>
        <w:t xml:space="preserve">§ 6 Abs. 1 </w:t>
      </w:r>
      <w:proofErr w:type="spellStart"/>
      <w:r w:rsidRPr="00D717AB">
        <w:rPr>
          <w:lang w:val="en-US"/>
        </w:rPr>
        <w:t>WRegG</w:t>
      </w:r>
      <w:proofErr w:type="spellEnd"/>
      <w:r w:rsidRPr="00D717AB">
        <w:rPr>
          <w:lang w:val="en-US"/>
        </w:rPr>
        <w:t>).</w:t>
      </w:r>
    </w:p>
  </w:footnote>
  <w:footnote w:id="40">
    <w:p w14:paraId="7D3AE528" w14:textId="77777777" w:rsidR="00404F73" w:rsidRPr="00D717AB" w:rsidRDefault="00404F73">
      <w:pPr>
        <w:pStyle w:val="Funotentext"/>
        <w:rPr>
          <w:lang w:val="en-US"/>
        </w:rPr>
      </w:pPr>
      <w:r>
        <w:rPr>
          <w:rStyle w:val="Funotenzeichen"/>
        </w:rPr>
        <w:footnoteRef/>
      </w:r>
      <w:r w:rsidRPr="00D717AB">
        <w:rPr>
          <w:lang w:val="en-US"/>
        </w:rPr>
        <w:t xml:space="preserve"> https://www.bundeskartellamt.de/DE/Wettbewerbsregister/WettbewReg_node.html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4261" w14:textId="77777777" w:rsidR="00B20C63" w:rsidRDefault="00B20C63" w:rsidP="00B20C63">
    <w:pPr>
      <w:tabs>
        <w:tab w:val="right" w:pos="9356"/>
      </w:tabs>
      <w:spacing w:line="256" w:lineRule="auto"/>
      <w:ind w:right="-227"/>
      <w:jc w:val="right"/>
      <w:rPr>
        <w:rFonts w:eastAsia="Times New Roman" w:cs="Times New Roman"/>
        <w:sz w:val="20"/>
        <w:szCs w:val="20"/>
        <w:lang w:eastAsia="de-DE"/>
      </w:rPr>
    </w:pPr>
    <w:r>
      <w:rPr>
        <w:noProof/>
      </w:rPr>
      <w:drawing>
        <wp:inline distT="0" distB="0" distL="0" distR="0" wp14:anchorId="457C410E" wp14:editId="4AD88A4E">
          <wp:extent cx="1476375" cy="504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p w14:paraId="5FE273CA" w14:textId="33CCEA81" w:rsidR="00DC5361" w:rsidRPr="00B20C63" w:rsidRDefault="00DC5361" w:rsidP="00B20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5BC"/>
    <w:multiLevelType w:val="hybridMultilevel"/>
    <w:tmpl w:val="11147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3B460F"/>
    <w:multiLevelType w:val="hybridMultilevel"/>
    <w:tmpl w:val="29168786"/>
    <w:lvl w:ilvl="0" w:tplc="B8F41E1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61"/>
    <w:rsid w:val="000030B5"/>
    <w:rsid w:val="00005334"/>
    <w:rsid w:val="00023CF6"/>
    <w:rsid w:val="000339ED"/>
    <w:rsid w:val="000922A5"/>
    <w:rsid w:val="0009392C"/>
    <w:rsid w:val="000B1556"/>
    <w:rsid w:val="000E5D3A"/>
    <w:rsid w:val="000F060D"/>
    <w:rsid w:val="000F405B"/>
    <w:rsid w:val="000F46E3"/>
    <w:rsid w:val="0010403A"/>
    <w:rsid w:val="00110D16"/>
    <w:rsid w:val="00125965"/>
    <w:rsid w:val="00133172"/>
    <w:rsid w:val="00156998"/>
    <w:rsid w:val="001577C9"/>
    <w:rsid w:val="00170FAD"/>
    <w:rsid w:val="00183E0D"/>
    <w:rsid w:val="00185B23"/>
    <w:rsid w:val="00192FAE"/>
    <w:rsid w:val="001A0ED5"/>
    <w:rsid w:val="001B7D2B"/>
    <w:rsid w:val="001C3D57"/>
    <w:rsid w:val="001E5C90"/>
    <w:rsid w:val="001F61F7"/>
    <w:rsid w:val="002224FB"/>
    <w:rsid w:val="00273009"/>
    <w:rsid w:val="0029127E"/>
    <w:rsid w:val="002A682E"/>
    <w:rsid w:val="002B3EC1"/>
    <w:rsid w:val="002B52AD"/>
    <w:rsid w:val="002C79AE"/>
    <w:rsid w:val="002F090B"/>
    <w:rsid w:val="003022E7"/>
    <w:rsid w:val="00320275"/>
    <w:rsid w:val="00320DDA"/>
    <w:rsid w:val="0032644D"/>
    <w:rsid w:val="00332808"/>
    <w:rsid w:val="003402C2"/>
    <w:rsid w:val="003864B7"/>
    <w:rsid w:val="00386B43"/>
    <w:rsid w:val="003A5280"/>
    <w:rsid w:val="003C036A"/>
    <w:rsid w:val="003D2554"/>
    <w:rsid w:val="003D4E59"/>
    <w:rsid w:val="003D7A65"/>
    <w:rsid w:val="003F10DD"/>
    <w:rsid w:val="003F7610"/>
    <w:rsid w:val="00402980"/>
    <w:rsid w:val="00404F73"/>
    <w:rsid w:val="00417216"/>
    <w:rsid w:val="00442CC7"/>
    <w:rsid w:val="00445365"/>
    <w:rsid w:val="00483A2C"/>
    <w:rsid w:val="004A7F14"/>
    <w:rsid w:val="004D1B83"/>
    <w:rsid w:val="004F6FE8"/>
    <w:rsid w:val="00503AB2"/>
    <w:rsid w:val="00521751"/>
    <w:rsid w:val="0057297E"/>
    <w:rsid w:val="005969A3"/>
    <w:rsid w:val="005977F7"/>
    <w:rsid w:val="005C271B"/>
    <w:rsid w:val="005D29B9"/>
    <w:rsid w:val="005D2F10"/>
    <w:rsid w:val="005D7C66"/>
    <w:rsid w:val="005E0D16"/>
    <w:rsid w:val="005E4A95"/>
    <w:rsid w:val="00627C56"/>
    <w:rsid w:val="00633662"/>
    <w:rsid w:val="00640A5B"/>
    <w:rsid w:val="00661F31"/>
    <w:rsid w:val="006639FD"/>
    <w:rsid w:val="006641D0"/>
    <w:rsid w:val="00667FD4"/>
    <w:rsid w:val="00680B9D"/>
    <w:rsid w:val="00694299"/>
    <w:rsid w:val="006A2043"/>
    <w:rsid w:val="006B7255"/>
    <w:rsid w:val="006C5AD7"/>
    <w:rsid w:val="00700863"/>
    <w:rsid w:val="00713734"/>
    <w:rsid w:val="00722773"/>
    <w:rsid w:val="00725859"/>
    <w:rsid w:val="00730538"/>
    <w:rsid w:val="00736BCF"/>
    <w:rsid w:val="00750457"/>
    <w:rsid w:val="00773ABA"/>
    <w:rsid w:val="00777101"/>
    <w:rsid w:val="00786EDF"/>
    <w:rsid w:val="007A7A4E"/>
    <w:rsid w:val="007B68FF"/>
    <w:rsid w:val="007D42E1"/>
    <w:rsid w:val="007E2EBB"/>
    <w:rsid w:val="007F4329"/>
    <w:rsid w:val="007F58C4"/>
    <w:rsid w:val="00801027"/>
    <w:rsid w:val="00811801"/>
    <w:rsid w:val="008437E3"/>
    <w:rsid w:val="00845F65"/>
    <w:rsid w:val="00847C89"/>
    <w:rsid w:val="008512C7"/>
    <w:rsid w:val="00885342"/>
    <w:rsid w:val="008940FE"/>
    <w:rsid w:val="008A731A"/>
    <w:rsid w:val="008A787F"/>
    <w:rsid w:val="008B0521"/>
    <w:rsid w:val="008C04FB"/>
    <w:rsid w:val="008D0869"/>
    <w:rsid w:val="008E0BD9"/>
    <w:rsid w:val="00913DC2"/>
    <w:rsid w:val="00933318"/>
    <w:rsid w:val="009335AC"/>
    <w:rsid w:val="00964177"/>
    <w:rsid w:val="00981522"/>
    <w:rsid w:val="00987085"/>
    <w:rsid w:val="00995F56"/>
    <w:rsid w:val="009C1986"/>
    <w:rsid w:val="009E5114"/>
    <w:rsid w:val="009F0F90"/>
    <w:rsid w:val="009F655D"/>
    <w:rsid w:val="00A04E3C"/>
    <w:rsid w:val="00A120C7"/>
    <w:rsid w:val="00A14855"/>
    <w:rsid w:val="00A27AF0"/>
    <w:rsid w:val="00A43502"/>
    <w:rsid w:val="00A60372"/>
    <w:rsid w:val="00A75C0A"/>
    <w:rsid w:val="00A84F13"/>
    <w:rsid w:val="00A9698F"/>
    <w:rsid w:val="00AA57EE"/>
    <w:rsid w:val="00AB173E"/>
    <w:rsid w:val="00AD5539"/>
    <w:rsid w:val="00AF6CA9"/>
    <w:rsid w:val="00B04170"/>
    <w:rsid w:val="00B20C63"/>
    <w:rsid w:val="00B36AA9"/>
    <w:rsid w:val="00B42206"/>
    <w:rsid w:val="00B42704"/>
    <w:rsid w:val="00B47DAD"/>
    <w:rsid w:val="00B5275E"/>
    <w:rsid w:val="00B8280D"/>
    <w:rsid w:val="00B84A1B"/>
    <w:rsid w:val="00B8694F"/>
    <w:rsid w:val="00B92CF1"/>
    <w:rsid w:val="00BA0EBA"/>
    <w:rsid w:val="00BA2D8F"/>
    <w:rsid w:val="00BB1384"/>
    <w:rsid w:val="00BB31A0"/>
    <w:rsid w:val="00BF3141"/>
    <w:rsid w:val="00C25161"/>
    <w:rsid w:val="00C82499"/>
    <w:rsid w:val="00CB1F07"/>
    <w:rsid w:val="00CC2A13"/>
    <w:rsid w:val="00CD0177"/>
    <w:rsid w:val="00D44A5C"/>
    <w:rsid w:val="00D717AB"/>
    <w:rsid w:val="00D732E3"/>
    <w:rsid w:val="00D80053"/>
    <w:rsid w:val="00D85F70"/>
    <w:rsid w:val="00D87EB1"/>
    <w:rsid w:val="00DB171F"/>
    <w:rsid w:val="00DC1E01"/>
    <w:rsid w:val="00DC5361"/>
    <w:rsid w:val="00DD586E"/>
    <w:rsid w:val="00DE798A"/>
    <w:rsid w:val="00DF35AB"/>
    <w:rsid w:val="00E1582D"/>
    <w:rsid w:val="00E16D7A"/>
    <w:rsid w:val="00E30908"/>
    <w:rsid w:val="00E37B9B"/>
    <w:rsid w:val="00E460D7"/>
    <w:rsid w:val="00E7091D"/>
    <w:rsid w:val="00E73246"/>
    <w:rsid w:val="00E83134"/>
    <w:rsid w:val="00E83934"/>
    <w:rsid w:val="00EA67F9"/>
    <w:rsid w:val="00EC442F"/>
    <w:rsid w:val="00EC4EBA"/>
    <w:rsid w:val="00ED51E8"/>
    <w:rsid w:val="00EE157D"/>
    <w:rsid w:val="00F12360"/>
    <w:rsid w:val="00F164E8"/>
    <w:rsid w:val="00F50B87"/>
    <w:rsid w:val="00F55CE9"/>
    <w:rsid w:val="00F70C54"/>
    <w:rsid w:val="00F91278"/>
    <w:rsid w:val="00F925D2"/>
    <w:rsid w:val="00F97705"/>
    <w:rsid w:val="00FE267D"/>
    <w:rsid w:val="00FF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E7D09"/>
  <w15:chartTrackingRefBased/>
  <w15:docId w15:val="{ADF38641-0C7E-4ACA-A17E-68BAFD6D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3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361"/>
  </w:style>
  <w:style w:type="paragraph" w:styleId="Fuzeile">
    <w:name w:val="footer"/>
    <w:basedOn w:val="Standard"/>
    <w:link w:val="FuzeileZchn"/>
    <w:uiPriority w:val="99"/>
    <w:unhideWhenUsed/>
    <w:rsid w:val="00DC53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361"/>
  </w:style>
  <w:style w:type="paragraph" w:styleId="Listenabsatz">
    <w:name w:val="List Paragraph"/>
    <w:basedOn w:val="Standard"/>
    <w:uiPriority w:val="34"/>
    <w:qFormat/>
    <w:rsid w:val="00DC5361"/>
    <w:pPr>
      <w:ind w:left="720"/>
      <w:contextualSpacing/>
    </w:pPr>
  </w:style>
  <w:style w:type="paragraph" w:styleId="Funotentext">
    <w:name w:val="footnote text"/>
    <w:basedOn w:val="Standard"/>
    <w:link w:val="FunotentextZchn"/>
    <w:uiPriority w:val="99"/>
    <w:semiHidden/>
    <w:unhideWhenUsed/>
    <w:rsid w:val="00DC53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C5361"/>
    <w:rPr>
      <w:sz w:val="20"/>
      <w:szCs w:val="20"/>
    </w:rPr>
  </w:style>
  <w:style w:type="character" w:styleId="Funotenzeichen">
    <w:name w:val="footnote reference"/>
    <w:basedOn w:val="Absatz-Standardschriftart"/>
    <w:uiPriority w:val="99"/>
    <w:semiHidden/>
    <w:unhideWhenUsed/>
    <w:rsid w:val="00DC5361"/>
    <w:rPr>
      <w:vertAlign w:val="superscript"/>
    </w:rPr>
  </w:style>
  <w:style w:type="paragraph" w:styleId="Sprechblasentext">
    <w:name w:val="Balloon Text"/>
    <w:basedOn w:val="Standard"/>
    <w:link w:val="SprechblasentextZchn"/>
    <w:uiPriority w:val="99"/>
    <w:semiHidden/>
    <w:unhideWhenUsed/>
    <w:rsid w:val="00B427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2704"/>
    <w:rPr>
      <w:rFonts w:ascii="Segoe UI" w:hAnsi="Segoe UI" w:cs="Segoe UI"/>
      <w:sz w:val="18"/>
      <w:szCs w:val="18"/>
    </w:rPr>
  </w:style>
  <w:style w:type="character" w:styleId="Kommentarzeichen">
    <w:name w:val="annotation reference"/>
    <w:basedOn w:val="Absatz-Standardschriftart"/>
    <w:uiPriority w:val="99"/>
    <w:semiHidden/>
    <w:unhideWhenUsed/>
    <w:rsid w:val="00DF35AB"/>
    <w:rPr>
      <w:sz w:val="16"/>
      <w:szCs w:val="16"/>
    </w:rPr>
  </w:style>
  <w:style w:type="paragraph" w:styleId="Kommentartext">
    <w:name w:val="annotation text"/>
    <w:basedOn w:val="Standard"/>
    <w:link w:val="KommentartextZchn"/>
    <w:uiPriority w:val="99"/>
    <w:semiHidden/>
    <w:unhideWhenUsed/>
    <w:rsid w:val="00DF35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35AB"/>
    <w:rPr>
      <w:sz w:val="20"/>
      <w:szCs w:val="20"/>
    </w:rPr>
  </w:style>
  <w:style w:type="paragraph" w:styleId="Kommentarthema">
    <w:name w:val="annotation subject"/>
    <w:basedOn w:val="Kommentartext"/>
    <w:next w:val="Kommentartext"/>
    <w:link w:val="KommentarthemaZchn"/>
    <w:uiPriority w:val="99"/>
    <w:semiHidden/>
    <w:unhideWhenUsed/>
    <w:rsid w:val="00DF35AB"/>
    <w:rPr>
      <w:b/>
      <w:bCs/>
    </w:rPr>
  </w:style>
  <w:style w:type="character" w:customStyle="1" w:styleId="KommentarthemaZchn">
    <w:name w:val="Kommentarthema Zchn"/>
    <w:basedOn w:val="KommentartextZchn"/>
    <w:link w:val="Kommentarthema"/>
    <w:uiPriority w:val="99"/>
    <w:semiHidden/>
    <w:rsid w:val="00DF35AB"/>
    <w:rPr>
      <w:b/>
      <w:bCs/>
      <w:sz w:val="20"/>
      <w:szCs w:val="20"/>
    </w:rPr>
  </w:style>
  <w:style w:type="paragraph" w:styleId="berarbeitung">
    <w:name w:val="Revision"/>
    <w:hidden/>
    <w:uiPriority w:val="99"/>
    <w:semiHidden/>
    <w:rsid w:val="00A84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8575">
      <w:bodyDiv w:val="1"/>
      <w:marLeft w:val="0"/>
      <w:marRight w:val="0"/>
      <w:marTop w:val="0"/>
      <w:marBottom w:val="0"/>
      <w:divBdr>
        <w:top w:val="none" w:sz="0" w:space="0" w:color="auto"/>
        <w:left w:val="none" w:sz="0" w:space="0" w:color="auto"/>
        <w:bottom w:val="none" w:sz="0" w:space="0" w:color="auto"/>
        <w:right w:val="none" w:sz="0" w:space="0" w:color="auto"/>
      </w:divBdr>
    </w:div>
    <w:div w:id="54592659">
      <w:bodyDiv w:val="1"/>
      <w:marLeft w:val="0"/>
      <w:marRight w:val="0"/>
      <w:marTop w:val="0"/>
      <w:marBottom w:val="0"/>
      <w:divBdr>
        <w:top w:val="none" w:sz="0" w:space="0" w:color="auto"/>
        <w:left w:val="none" w:sz="0" w:space="0" w:color="auto"/>
        <w:bottom w:val="none" w:sz="0" w:space="0" w:color="auto"/>
        <w:right w:val="none" w:sz="0" w:space="0" w:color="auto"/>
      </w:divBdr>
    </w:div>
    <w:div w:id="335771119">
      <w:bodyDiv w:val="1"/>
      <w:marLeft w:val="0"/>
      <w:marRight w:val="0"/>
      <w:marTop w:val="0"/>
      <w:marBottom w:val="0"/>
      <w:divBdr>
        <w:top w:val="none" w:sz="0" w:space="0" w:color="auto"/>
        <w:left w:val="none" w:sz="0" w:space="0" w:color="auto"/>
        <w:bottom w:val="none" w:sz="0" w:space="0" w:color="auto"/>
        <w:right w:val="none" w:sz="0" w:space="0" w:color="auto"/>
      </w:divBdr>
    </w:div>
    <w:div w:id="395207541">
      <w:bodyDiv w:val="1"/>
      <w:marLeft w:val="0"/>
      <w:marRight w:val="0"/>
      <w:marTop w:val="0"/>
      <w:marBottom w:val="0"/>
      <w:divBdr>
        <w:top w:val="none" w:sz="0" w:space="0" w:color="auto"/>
        <w:left w:val="none" w:sz="0" w:space="0" w:color="auto"/>
        <w:bottom w:val="none" w:sz="0" w:space="0" w:color="auto"/>
        <w:right w:val="none" w:sz="0" w:space="0" w:color="auto"/>
      </w:divBdr>
    </w:div>
    <w:div w:id="654576874">
      <w:bodyDiv w:val="1"/>
      <w:marLeft w:val="0"/>
      <w:marRight w:val="0"/>
      <w:marTop w:val="0"/>
      <w:marBottom w:val="0"/>
      <w:divBdr>
        <w:top w:val="none" w:sz="0" w:space="0" w:color="auto"/>
        <w:left w:val="none" w:sz="0" w:space="0" w:color="auto"/>
        <w:bottom w:val="none" w:sz="0" w:space="0" w:color="auto"/>
        <w:right w:val="none" w:sz="0" w:space="0" w:color="auto"/>
      </w:divBdr>
    </w:div>
    <w:div w:id="966201986">
      <w:bodyDiv w:val="1"/>
      <w:marLeft w:val="0"/>
      <w:marRight w:val="0"/>
      <w:marTop w:val="0"/>
      <w:marBottom w:val="0"/>
      <w:divBdr>
        <w:top w:val="none" w:sz="0" w:space="0" w:color="auto"/>
        <w:left w:val="none" w:sz="0" w:space="0" w:color="auto"/>
        <w:bottom w:val="none" w:sz="0" w:space="0" w:color="auto"/>
        <w:right w:val="none" w:sz="0" w:space="0" w:color="auto"/>
      </w:divBdr>
    </w:div>
    <w:div w:id="1047870766">
      <w:bodyDiv w:val="1"/>
      <w:marLeft w:val="0"/>
      <w:marRight w:val="0"/>
      <w:marTop w:val="0"/>
      <w:marBottom w:val="0"/>
      <w:divBdr>
        <w:top w:val="none" w:sz="0" w:space="0" w:color="auto"/>
        <w:left w:val="none" w:sz="0" w:space="0" w:color="auto"/>
        <w:bottom w:val="none" w:sz="0" w:space="0" w:color="auto"/>
        <w:right w:val="none" w:sz="0" w:space="0" w:color="auto"/>
      </w:divBdr>
    </w:div>
    <w:div w:id="1139804794">
      <w:bodyDiv w:val="1"/>
      <w:marLeft w:val="0"/>
      <w:marRight w:val="0"/>
      <w:marTop w:val="0"/>
      <w:marBottom w:val="0"/>
      <w:divBdr>
        <w:top w:val="none" w:sz="0" w:space="0" w:color="auto"/>
        <w:left w:val="none" w:sz="0" w:space="0" w:color="auto"/>
        <w:bottom w:val="none" w:sz="0" w:space="0" w:color="auto"/>
        <w:right w:val="none" w:sz="0" w:space="0" w:color="auto"/>
      </w:divBdr>
    </w:div>
    <w:div w:id="1478763230">
      <w:bodyDiv w:val="1"/>
      <w:marLeft w:val="0"/>
      <w:marRight w:val="0"/>
      <w:marTop w:val="0"/>
      <w:marBottom w:val="0"/>
      <w:divBdr>
        <w:top w:val="none" w:sz="0" w:space="0" w:color="auto"/>
        <w:left w:val="none" w:sz="0" w:space="0" w:color="auto"/>
        <w:bottom w:val="none" w:sz="0" w:space="0" w:color="auto"/>
        <w:right w:val="none" w:sz="0" w:space="0" w:color="auto"/>
      </w:divBdr>
    </w:div>
    <w:div w:id="1562017186">
      <w:bodyDiv w:val="1"/>
      <w:marLeft w:val="0"/>
      <w:marRight w:val="0"/>
      <w:marTop w:val="0"/>
      <w:marBottom w:val="0"/>
      <w:divBdr>
        <w:top w:val="none" w:sz="0" w:space="0" w:color="auto"/>
        <w:left w:val="none" w:sz="0" w:space="0" w:color="auto"/>
        <w:bottom w:val="none" w:sz="0" w:space="0" w:color="auto"/>
        <w:right w:val="none" w:sz="0" w:space="0" w:color="auto"/>
      </w:divBdr>
    </w:div>
    <w:div w:id="2126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269A-1B53-4BD4-B7E5-031344B0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2923</Words>
  <Characters>18420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BMWK</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Baasch, Alena, IVB2</dc:creator>
  <cp:keywords/>
  <dc:description/>
  <cp:lastModifiedBy>Baasch, Alena, IVB2</cp:lastModifiedBy>
  <cp:revision>12</cp:revision>
  <cp:lastPrinted>2023-09-04T09:40:00Z</cp:lastPrinted>
  <dcterms:created xsi:type="dcterms:W3CDTF">2023-09-22T07:50:00Z</dcterms:created>
  <dcterms:modified xsi:type="dcterms:W3CDTF">2023-09-22T12:15:00Z</dcterms:modified>
</cp:coreProperties>
</file>