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E7D62" w14:textId="77777777" w:rsidR="00020AD1" w:rsidRPr="00B20C63" w:rsidRDefault="00020AD1" w:rsidP="00020AD1">
      <w:pPr>
        <w:spacing w:before="120"/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</w:pPr>
      <w:r>
        <w:rPr>
          <w:rFonts w:ascii="Arial" w:hAnsi="Arial" w:cs="Arial"/>
          <w:b/>
          <w:bCs/>
          <w:color w:val="1F4E79" w:themeColor="accent5" w:themeShade="80"/>
          <w:sz w:val="32"/>
          <w:szCs w:val="32"/>
        </w:rPr>
        <w:t>EITI Validierung Deutschland 2023</w:t>
      </w:r>
    </w:p>
    <w:p w14:paraId="605BB7FE" w14:textId="0F4A9582" w:rsidR="00BB599E" w:rsidRDefault="00020AD1" w:rsidP="00020AD1">
      <w:pPr>
        <w:rPr>
          <w:rFonts w:ascii="Arial" w:hAnsi="Arial" w:cs="Arial"/>
          <w:b/>
          <w:u w:val="single"/>
        </w:rPr>
      </w:pPr>
      <w:r w:rsidRPr="00777101">
        <w:rPr>
          <w:rFonts w:ascii="Arial" w:hAnsi="Arial" w:cs="Arial"/>
          <w:color w:val="2E74B5" w:themeColor="accent5" w:themeShade="BF"/>
          <w:u w:val="single"/>
        </w:rPr>
        <w:t>Abgestimmte Position für die Stakeholdergruppe der Regierung zur EITI Standard-Anforderung Ziff.</w:t>
      </w:r>
      <w:r>
        <w:rPr>
          <w:rFonts w:ascii="Arial" w:hAnsi="Arial" w:cs="Arial"/>
          <w:color w:val="2E74B5" w:themeColor="accent5" w:themeShade="BF"/>
          <w:u w:val="single"/>
        </w:rPr>
        <w:t xml:space="preserve"> 4.7 (Level </w:t>
      </w:r>
      <w:proofErr w:type="spellStart"/>
      <w:r>
        <w:rPr>
          <w:rFonts w:ascii="Arial" w:hAnsi="Arial" w:cs="Arial"/>
          <w:color w:val="2E74B5" w:themeColor="accent5" w:themeShade="BF"/>
          <w:u w:val="single"/>
        </w:rPr>
        <w:t>of</w:t>
      </w:r>
      <w:proofErr w:type="spellEnd"/>
      <w:r>
        <w:rPr>
          <w:rFonts w:ascii="Arial" w:hAnsi="Arial" w:cs="Arial"/>
          <w:color w:val="2E74B5" w:themeColor="accent5" w:themeShade="BF"/>
          <w:u w:val="single"/>
        </w:rPr>
        <w:t xml:space="preserve"> </w:t>
      </w:r>
      <w:proofErr w:type="spellStart"/>
      <w:r>
        <w:rPr>
          <w:rFonts w:ascii="Arial" w:hAnsi="Arial" w:cs="Arial"/>
          <w:color w:val="2E74B5" w:themeColor="accent5" w:themeShade="BF"/>
          <w:u w:val="single"/>
        </w:rPr>
        <w:t>disaggregation</w:t>
      </w:r>
      <w:proofErr w:type="spellEnd"/>
      <w:r>
        <w:rPr>
          <w:rFonts w:ascii="Arial" w:hAnsi="Arial" w:cs="Arial"/>
          <w:color w:val="2E74B5" w:themeColor="accent5" w:themeShade="BF"/>
          <w:u w:val="single"/>
        </w:rPr>
        <w:t>)</w:t>
      </w:r>
    </w:p>
    <w:p w14:paraId="2E615729" w14:textId="77777777" w:rsidR="008D78DD" w:rsidRDefault="008D78DD">
      <w:pPr>
        <w:rPr>
          <w:rFonts w:ascii="Arial" w:hAnsi="Arial" w:cs="Arial"/>
          <w:b/>
          <w:u w:val="single"/>
        </w:rPr>
      </w:pPr>
    </w:p>
    <w:p w14:paraId="5AA470A6" w14:textId="512C5FBB" w:rsidR="001A2C8A" w:rsidRPr="00EC5088" w:rsidRDefault="00EC5088">
      <w:pPr>
        <w:rPr>
          <w:rFonts w:ascii="Arial" w:hAnsi="Arial" w:cs="Arial"/>
          <w:b/>
          <w:u w:val="single"/>
        </w:rPr>
      </w:pPr>
      <w:r w:rsidRPr="00EC5088">
        <w:rPr>
          <w:rFonts w:ascii="Arial" w:hAnsi="Arial" w:cs="Arial"/>
          <w:b/>
          <w:u w:val="single"/>
        </w:rPr>
        <w:t xml:space="preserve">I. </w:t>
      </w:r>
      <w:r w:rsidR="001A2C8A" w:rsidRPr="00EC5088">
        <w:rPr>
          <w:rFonts w:ascii="Arial" w:hAnsi="Arial" w:cs="Arial"/>
          <w:b/>
          <w:u w:val="single"/>
        </w:rPr>
        <w:t>Sachverhalt</w:t>
      </w:r>
    </w:p>
    <w:p w14:paraId="13B493D7" w14:textId="571DEA6E" w:rsidR="001A2C8A" w:rsidRDefault="00175762" w:rsidP="001A2C8A">
      <w:pPr>
        <w:rPr>
          <w:rFonts w:ascii="Arial" w:eastAsia="Times New Roman" w:hAnsi="Arial" w:cs="Arial"/>
        </w:rPr>
      </w:pPr>
      <w:r w:rsidRPr="00175762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77888779" wp14:editId="4BC22CB6">
            <wp:simplePos x="0" y="0"/>
            <wp:positionH relativeFrom="column">
              <wp:posOffset>-5080</wp:posOffset>
            </wp:positionH>
            <wp:positionV relativeFrom="paragraph">
              <wp:posOffset>219710</wp:posOffset>
            </wp:positionV>
            <wp:extent cx="5248275" cy="3254375"/>
            <wp:effectExtent l="0" t="0" r="9525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48275" cy="325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762">
        <w:rPr>
          <w:rFonts w:ascii="Arial" w:hAnsi="Arial" w:cs="Arial"/>
          <w:noProof/>
        </w:rPr>
        <w:t>Anforderung</w:t>
      </w:r>
      <w:r w:rsidRPr="00175762">
        <w:rPr>
          <w:rFonts w:ascii="Arial" w:eastAsia="Times New Roman" w:hAnsi="Arial" w:cs="Arial"/>
        </w:rPr>
        <w:t xml:space="preserve"> </w:t>
      </w:r>
      <w:r w:rsidR="001A2C8A">
        <w:rPr>
          <w:rFonts w:ascii="Arial" w:eastAsia="Times New Roman" w:hAnsi="Arial" w:cs="Arial"/>
        </w:rPr>
        <w:t xml:space="preserve">4.7. </w:t>
      </w:r>
      <w:r w:rsidR="0067367B">
        <w:rPr>
          <w:rFonts w:ascii="Arial" w:eastAsia="Times New Roman" w:hAnsi="Arial" w:cs="Arial"/>
        </w:rPr>
        <w:t>im Abschnitt 4 (</w:t>
      </w:r>
      <w:proofErr w:type="spellStart"/>
      <w:r w:rsidR="0067367B">
        <w:rPr>
          <w:rFonts w:ascii="Arial" w:eastAsia="Times New Roman" w:hAnsi="Arial" w:cs="Arial"/>
        </w:rPr>
        <w:t>revenue</w:t>
      </w:r>
      <w:proofErr w:type="spellEnd"/>
      <w:r w:rsidR="0067367B">
        <w:rPr>
          <w:rFonts w:ascii="Arial" w:eastAsia="Times New Roman" w:hAnsi="Arial" w:cs="Arial"/>
        </w:rPr>
        <w:t xml:space="preserve"> </w:t>
      </w:r>
      <w:proofErr w:type="spellStart"/>
      <w:r w:rsidR="0067367B">
        <w:rPr>
          <w:rFonts w:ascii="Arial" w:eastAsia="Times New Roman" w:hAnsi="Arial" w:cs="Arial"/>
        </w:rPr>
        <w:t>collection</w:t>
      </w:r>
      <w:proofErr w:type="spellEnd"/>
      <w:r w:rsidR="0067367B">
        <w:rPr>
          <w:rFonts w:ascii="Arial" w:eastAsia="Times New Roman" w:hAnsi="Arial" w:cs="Arial"/>
        </w:rPr>
        <w:t xml:space="preserve">) </w:t>
      </w:r>
      <w:r w:rsidR="001A2C8A">
        <w:rPr>
          <w:rFonts w:ascii="Arial" w:eastAsia="Times New Roman" w:hAnsi="Arial" w:cs="Arial"/>
        </w:rPr>
        <w:t>des EITI Standards 2019 lautet:</w:t>
      </w:r>
    </w:p>
    <w:p w14:paraId="1DB81BC0" w14:textId="7D73D687" w:rsidR="00EC5088" w:rsidRDefault="00EC5088" w:rsidP="001A2C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textWrapping" w:clear="all"/>
      </w:r>
    </w:p>
    <w:p w14:paraId="5B21E589" w14:textId="6D25980C" w:rsidR="001A2C8A" w:rsidRPr="00EC5088" w:rsidRDefault="001A2C8A" w:rsidP="001A2C8A">
      <w:pPr>
        <w:rPr>
          <w:rFonts w:ascii="Arial" w:eastAsia="Times New Roman" w:hAnsi="Arial" w:cs="Arial"/>
        </w:rPr>
      </w:pPr>
      <w:r w:rsidRPr="3ACB5B59">
        <w:rPr>
          <w:rFonts w:ascii="Arial" w:eastAsia="Times New Roman" w:hAnsi="Arial" w:cs="Arial"/>
        </w:rPr>
        <w:t>Die</w:t>
      </w:r>
      <w:r w:rsidR="00301CE3" w:rsidRPr="3ACB5B59">
        <w:rPr>
          <w:rFonts w:ascii="Arial" w:eastAsia="Times New Roman" w:hAnsi="Arial" w:cs="Arial"/>
        </w:rPr>
        <w:t xml:space="preserve"> </w:t>
      </w:r>
      <w:r w:rsidRPr="3ACB5B59">
        <w:rPr>
          <w:rFonts w:ascii="Arial" w:eastAsia="Times New Roman" w:hAnsi="Arial" w:cs="Arial"/>
        </w:rPr>
        <w:t xml:space="preserve">Anforderung </w:t>
      </w:r>
      <w:r w:rsidR="00301CE3" w:rsidRPr="3ACB5B59">
        <w:rPr>
          <w:rFonts w:ascii="Arial" w:eastAsia="Times New Roman" w:hAnsi="Arial" w:cs="Arial"/>
        </w:rPr>
        <w:t xml:space="preserve">in 4.7 </w:t>
      </w:r>
      <w:r w:rsidR="00C3156F" w:rsidRPr="3ACB5B59">
        <w:rPr>
          <w:rFonts w:ascii="Arial" w:eastAsia="Times New Roman" w:hAnsi="Arial" w:cs="Arial"/>
        </w:rPr>
        <w:t xml:space="preserve">des EITI-Standards </w:t>
      </w:r>
      <w:r w:rsidRPr="3ACB5B59">
        <w:rPr>
          <w:rFonts w:ascii="Arial" w:eastAsia="Times New Roman" w:hAnsi="Arial" w:cs="Arial"/>
        </w:rPr>
        <w:t>wurde bei der ersten Validierung in 2019 nicht geprüft</w:t>
      </w:r>
      <w:r w:rsidR="00C05D91" w:rsidRPr="3ACB5B59">
        <w:rPr>
          <w:rFonts w:ascii="Arial" w:eastAsia="Times New Roman" w:hAnsi="Arial" w:cs="Arial"/>
        </w:rPr>
        <w:t>, da sie zu diesem Zeitpunkt noch nicht verpflichtender Bestandteil der EITI Berichterstattung war</w:t>
      </w:r>
      <w:r w:rsidRPr="3ACB5B59">
        <w:rPr>
          <w:rFonts w:ascii="Arial" w:eastAsia="Times New Roman" w:hAnsi="Arial" w:cs="Arial"/>
        </w:rPr>
        <w:t>.</w:t>
      </w:r>
      <w:r w:rsidRPr="3ACB5B59">
        <w:rPr>
          <w:rFonts w:ascii="Arial" w:eastAsia="Times New Roman" w:hAnsi="Arial" w:cs="Arial"/>
          <w:b/>
          <w:bCs/>
        </w:rPr>
        <w:t xml:space="preserve"> </w:t>
      </w:r>
      <w:r w:rsidRPr="3ACB5B59">
        <w:rPr>
          <w:rFonts w:ascii="Arial" w:eastAsia="Times New Roman" w:hAnsi="Arial" w:cs="Arial"/>
        </w:rPr>
        <w:t xml:space="preserve">Die Anforderung betrifft in DEU </w:t>
      </w:r>
      <w:r w:rsidR="0094571C" w:rsidRPr="3ACB5B59">
        <w:rPr>
          <w:rFonts w:ascii="Arial" w:eastAsia="Times New Roman" w:hAnsi="Arial" w:cs="Arial"/>
        </w:rPr>
        <w:t xml:space="preserve">nach </w:t>
      </w:r>
      <w:r w:rsidR="00D01C11">
        <w:rPr>
          <w:rFonts w:ascii="Arial" w:eastAsia="Times New Roman" w:hAnsi="Arial" w:cs="Arial"/>
        </w:rPr>
        <w:t>Einschätzung</w:t>
      </w:r>
      <w:r w:rsidR="00D01C11" w:rsidRPr="3ACB5B59">
        <w:rPr>
          <w:rFonts w:ascii="Arial" w:eastAsia="Times New Roman" w:hAnsi="Arial" w:cs="Arial"/>
        </w:rPr>
        <w:t xml:space="preserve"> </w:t>
      </w:r>
      <w:r w:rsidR="0094571C" w:rsidRPr="3ACB5B59">
        <w:rPr>
          <w:rFonts w:ascii="Arial" w:eastAsia="Times New Roman" w:hAnsi="Arial" w:cs="Arial"/>
        </w:rPr>
        <w:t xml:space="preserve">des D-EITI Sekretariats </w:t>
      </w:r>
      <w:r w:rsidRPr="3ACB5B59">
        <w:rPr>
          <w:rFonts w:ascii="Arial" w:eastAsia="Times New Roman" w:hAnsi="Arial" w:cs="Arial"/>
        </w:rPr>
        <w:t>allein d</w:t>
      </w:r>
      <w:r w:rsidR="007D5F8B" w:rsidRPr="3ACB5B59">
        <w:rPr>
          <w:rFonts w:ascii="Arial" w:eastAsia="Times New Roman" w:hAnsi="Arial" w:cs="Arial"/>
        </w:rPr>
        <w:t>en Zahlungsstrom (</w:t>
      </w:r>
      <w:proofErr w:type="spellStart"/>
      <w:r w:rsidR="007D5F8B" w:rsidRPr="3ACB5B59">
        <w:rPr>
          <w:rFonts w:ascii="Arial" w:eastAsia="Times New Roman" w:hAnsi="Arial" w:cs="Arial"/>
        </w:rPr>
        <w:t>revenue</w:t>
      </w:r>
      <w:proofErr w:type="spellEnd"/>
      <w:r w:rsidR="007D5F8B" w:rsidRPr="3ACB5B59">
        <w:rPr>
          <w:rFonts w:ascii="Arial" w:eastAsia="Times New Roman" w:hAnsi="Arial" w:cs="Arial"/>
        </w:rPr>
        <w:t xml:space="preserve"> stream) der</w:t>
      </w:r>
      <w:r w:rsidRPr="3ACB5B59">
        <w:rPr>
          <w:rFonts w:ascii="Arial" w:eastAsia="Times New Roman" w:hAnsi="Arial" w:cs="Arial"/>
        </w:rPr>
        <w:t xml:space="preserve"> </w:t>
      </w:r>
      <w:r w:rsidRPr="3ACB5B59">
        <w:rPr>
          <w:rFonts w:ascii="Arial" w:eastAsia="Times New Roman" w:hAnsi="Arial" w:cs="Arial"/>
          <w:b/>
          <w:bCs/>
        </w:rPr>
        <w:t>Feldes- und Förderabgaben</w:t>
      </w:r>
      <w:r w:rsidRPr="3ACB5B59">
        <w:rPr>
          <w:rFonts w:ascii="Arial" w:eastAsia="Times New Roman" w:hAnsi="Arial" w:cs="Arial"/>
        </w:rPr>
        <w:t xml:space="preserve">, da diese </w:t>
      </w:r>
      <w:r w:rsidR="007D5F8B" w:rsidRPr="3ACB5B59">
        <w:rPr>
          <w:rFonts w:ascii="Arial" w:eastAsia="Times New Roman" w:hAnsi="Arial" w:cs="Arial"/>
        </w:rPr>
        <w:t>sich direkt auf die Rohstof</w:t>
      </w:r>
      <w:r w:rsidR="00C05D91" w:rsidRPr="3ACB5B59">
        <w:rPr>
          <w:rFonts w:ascii="Arial" w:eastAsia="Times New Roman" w:hAnsi="Arial" w:cs="Arial"/>
        </w:rPr>
        <w:t>fgewinnung eines Unternehmens</w:t>
      </w:r>
      <w:r w:rsidR="007D5F8B" w:rsidRPr="3ACB5B59">
        <w:rPr>
          <w:rFonts w:ascii="Arial" w:eastAsia="Times New Roman" w:hAnsi="Arial" w:cs="Arial"/>
        </w:rPr>
        <w:t xml:space="preserve"> beziehen</w:t>
      </w:r>
      <w:r w:rsidRPr="3ACB5B59">
        <w:rPr>
          <w:rFonts w:ascii="Arial" w:eastAsia="Times New Roman" w:hAnsi="Arial" w:cs="Arial"/>
        </w:rPr>
        <w:t>.</w:t>
      </w:r>
      <w:r w:rsidR="007D5F8B" w:rsidRPr="3ACB5B59">
        <w:rPr>
          <w:rFonts w:ascii="Arial" w:eastAsia="Times New Roman" w:hAnsi="Arial" w:cs="Arial"/>
        </w:rPr>
        <w:t xml:space="preserve"> Hingegen sind die Gewerbe- und Körperschaftssteuer</w:t>
      </w:r>
      <w:r w:rsidR="001B44D1" w:rsidRPr="3ACB5B59">
        <w:rPr>
          <w:rFonts w:ascii="Arial" w:eastAsia="Times New Roman" w:hAnsi="Arial" w:cs="Arial"/>
        </w:rPr>
        <w:t>n</w:t>
      </w:r>
      <w:r w:rsidR="007D5F8B" w:rsidRPr="3ACB5B59">
        <w:rPr>
          <w:rFonts w:ascii="Arial" w:eastAsia="Times New Roman" w:hAnsi="Arial" w:cs="Arial"/>
        </w:rPr>
        <w:t xml:space="preserve"> keine rohstoff</w:t>
      </w:r>
      <w:r w:rsidR="00C05D91" w:rsidRPr="3ACB5B59">
        <w:rPr>
          <w:rFonts w:ascii="Arial" w:eastAsia="Times New Roman" w:hAnsi="Arial" w:cs="Arial"/>
        </w:rPr>
        <w:t>gewinnungs</w:t>
      </w:r>
      <w:r w:rsidR="007D5F8B" w:rsidRPr="3ACB5B59">
        <w:rPr>
          <w:rFonts w:ascii="Arial" w:eastAsia="Times New Roman" w:hAnsi="Arial" w:cs="Arial"/>
        </w:rPr>
        <w:t>spezifischen Abgaben.</w:t>
      </w:r>
    </w:p>
    <w:p w14:paraId="003D90DE" w14:textId="7048F013" w:rsidR="003F3965" w:rsidRDefault="00E40B3E" w:rsidP="00301C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3ACB5B59">
        <w:rPr>
          <w:rFonts w:ascii="Arial" w:hAnsi="Arial" w:cs="Arial"/>
          <w:b/>
          <w:bCs/>
        </w:rPr>
        <w:t xml:space="preserve">5. D-EITI Bericht </w:t>
      </w:r>
      <w:r w:rsidR="00301CE3">
        <w:rPr>
          <w:rFonts w:ascii="Arial" w:hAnsi="Arial" w:cs="Arial"/>
        </w:rPr>
        <w:t>stellt</w:t>
      </w:r>
      <w:r w:rsidR="00C3156F">
        <w:rPr>
          <w:rFonts w:ascii="Arial" w:hAnsi="Arial" w:cs="Arial"/>
        </w:rPr>
        <w:t xml:space="preserve"> die</w:t>
      </w:r>
      <w:r w:rsidR="00301CE3">
        <w:rPr>
          <w:rFonts w:ascii="Arial" w:hAnsi="Arial" w:cs="Arial"/>
        </w:rPr>
        <w:t xml:space="preserve"> </w:t>
      </w:r>
      <w:r w:rsidR="00C05D91" w:rsidRPr="3ACB5B59">
        <w:rPr>
          <w:rFonts w:ascii="Arial" w:hAnsi="Arial" w:cs="Arial"/>
        </w:rPr>
        <w:t xml:space="preserve">staatlichen </w:t>
      </w:r>
      <w:r w:rsidR="00EC5088" w:rsidRPr="00EC5088">
        <w:rPr>
          <w:rFonts w:ascii="Arial" w:hAnsi="Arial" w:cs="Arial"/>
        </w:rPr>
        <w:t>Einnahmen aus Feldes- und Förderabgaben</w:t>
      </w:r>
      <w:r w:rsidR="009A0B1D">
        <w:rPr>
          <w:rFonts w:ascii="Arial" w:hAnsi="Arial" w:cs="Arial"/>
        </w:rPr>
        <w:t xml:space="preserve"> für den Berichtszeitraum 2020</w:t>
      </w:r>
      <w:r w:rsidR="00EC5088" w:rsidRPr="00EC5088">
        <w:rPr>
          <w:rFonts w:ascii="Arial" w:hAnsi="Arial" w:cs="Arial"/>
        </w:rPr>
        <w:t xml:space="preserve"> </w:t>
      </w:r>
      <w:r w:rsidRPr="3ACB5B59">
        <w:rPr>
          <w:rFonts w:ascii="Arial" w:hAnsi="Arial" w:cs="Arial"/>
          <w:b/>
          <w:bCs/>
        </w:rPr>
        <w:t xml:space="preserve">auf Ebene der Bundesländer </w:t>
      </w:r>
      <w:r>
        <w:rPr>
          <w:rFonts w:ascii="Arial" w:hAnsi="Arial" w:cs="Arial"/>
        </w:rPr>
        <w:t>dar</w:t>
      </w:r>
      <w:r w:rsidR="00993F3D">
        <w:rPr>
          <w:rFonts w:ascii="Arial" w:hAnsi="Arial" w:cs="Arial"/>
        </w:rPr>
        <w:t>.</w:t>
      </w:r>
      <w:r w:rsidR="00993F3D">
        <w:rPr>
          <w:rStyle w:val="Funotenzeichen"/>
          <w:rFonts w:ascii="Arial" w:hAnsi="Arial" w:cs="Arial"/>
        </w:rPr>
        <w:footnoteReference w:id="1"/>
      </w:r>
      <w:r w:rsidR="00EC5088" w:rsidRPr="00EC5088">
        <w:rPr>
          <w:rFonts w:ascii="Arial" w:hAnsi="Arial" w:cs="Arial"/>
        </w:rPr>
        <w:t xml:space="preserve"> </w:t>
      </w:r>
      <w:r w:rsidR="00301CE3">
        <w:rPr>
          <w:rFonts w:ascii="Arial" w:hAnsi="Arial" w:cs="Arial"/>
        </w:rPr>
        <w:t xml:space="preserve">Darüber hinaus </w:t>
      </w:r>
      <w:r w:rsidR="00C05D91" w:rsidRPr="3ACB5B59">
        <w:rPr>
          <w:rFonts w:ascii="Arial" w:hAnsi="Arial" w:cs="Arial"/>
        </w:rPr>
        <w:t>werden die Datenmeldungen der Unternehmen im Rahmen der Datenerhebungen des Unabhängigen Verwalters zu</w:t>
      </w:r>
      <w:r w:rsidR="00301CE3">
        <w:rPr>
          <w:rFonts w:ascii="Arial" w:hAnsi="Arial" w:cs="Arial"/>
        </w:rPr>
        <w:t xml:space="preserve"> Feldes- und Förderabgaben </w:t>
      </w:r>
      <w:r w:rsidR="00C3156F">
        <w:rPr>
          <w:rFonts w:ascii="Arial" w:hAnsi="Arial" w:cs="Arial"/>
        </w:rPr>
        <w:t xml:space="preserve">aufgeschlüsselt nach </w:t>
      </w:r>
      <w:r w:rsidR="00C3156F" w:rsidRPr="3ACB5B59">
        <w:rPr>
          <w:rFonts w:ascii="Arial" w:hAnsi="Arial" w:cs="Arial"/>
          <w:b/>
          <w:bCs/>
        </w:rPr>
        <w:t>einzelnen</w:t>
      </w:r>
      <w:r w:rsidR="00301CE3" w:rsidRPr="3ACB5B59">
        <w:rPr>
          <w:rFonts w:ascii="Arial" w:hAnsi="Arial" w:cs="Arial"/>
          <w:b/>
          <w:bCs/>
        </w:rPr>
        <w:t xml:space="preserve"> Unternehmen</w:t>
      </w:r>
      <w:r w:rsidR="00301CE3">
        <w:rPr>
          <w:rFonts w:ascii="Arial" w:hAnsi="Arial" w:cs="Arial"/>
        </w:rPr>
        <w:t xml:space="preserve"> und </w:t>
      </w:r>
      <w:r w:rsidR="00301CE3" w:rsidRPr="3ACB5B59">
        <w:rPr>
          <w:rFonts w:ascii="Arial" w:hAnsi="Arial" w:cs="Arial"/>
          <w:b/>
          <w:bCs/>
        </w:rPr>
        <w:t xml:space="preserve">einzelnen </w:t>
      </w:r>
      <w:r w:rsidR="003F3965">
        <w:rPr>
          <w:rFonts w:ascii="Arial" w:hAnsi="Arial" w:cs="Arial"/>
          <w:b/>
          <w:bCs/>
        </w:rPr>
        <w:t xml:space="preserve">Bundesländern </w:t>
      </w:r>
      <w:r w:rsidR="003F3965" w:rsidRPr="003F3965">
        <w:rPr>
          <w:rFonts w:ascii="Arial" w:hAnsi="Arial" w:cs="Arial"/>
          <w:bCs/>
        </w:rPr>
        <w:t>als Zahlungsempfänger</w:t>
      </w:r>
      <w:r w:rsidR="003F3965">
        <w:rPr>
          <w:rFonts w:ascii="Arial" w:hAnsi="Arial" w:cs="Arial"/>
          <w:b/>
          <w:bCs/>
        </w:rPr>
        <w:t xml:space="preserve"> bzw. den </w:t>
      </w:r>
      <w:r w:rsidR="00301CE3" w:rsidRPr="3ACB5B59">
        <w:rPr>
          <w:rFonts w:ascii="Arial" w:hAnsi="Arial" w:cs="Arial"/>
          <w:b/>
          <w:bCs/>
        </w:rPr>
        <w:t>Bergämter</w:t>
      </w:r>
      <w:r w:rsidR="00C3156F" w:rsidRPr="3ACB5B59">
        <w:rPr>
          <w:rFonts w:ascii="Arial" w:hAnsi="Arial" w:cs="Arial"/>
          <w:b/>
          <w:bCs/>
        </w:rPr>
        <w:t>n</w:t>
      </w:r>
      <w:r w:rsidR="00301CE3" w:rsidRPr="3ACB5B59">
        <w:rPr>
          <w:rFonts w:ascii="Arial" w:hAnsi="Arial" w:cs="Arial"/>
        </w:rPr>
        <w:t>.</w:t>
      </w:r>
      <w:r w:rsidR="00301CE3">
        <w:rPr>
          <w:rStyle w:val="Funotenzeichen"/>
          <w:rFonts w:ascii="Arial" w:hAnsi="Arial" w:cs="Arial"/>
        </w:rPr>
        <w:footnoteReference w:id="2"/>
      </w:r>
      <w:r w:rsidR="000B61CB">
        <w:rPr>
          <w:rFonts w:ascii="Arial" w:hAnsi="Arial" w:cs="Arial"/>
        </w:rPr>
        <w:t xml:space="preserve"> </w:t>
      </w:r>
      <w:r w:rsidR="00A26FA3">
        <w:rPr>
          <w:rFonts w:ascii="Arial" w:hAnsi="Arial" w:cs="Arial"/>
        </w:rPr>
        <w:t xml:space="preserve">Nach Rücksprache des D-EITI Sekretariats mit dem Internationalen Sekretariat sei Bezugspunkt für den Zahlungsstrom der Feldes- und Förderabgaben </w:t>
      </w:r>
      <w:r w:rsidR="003F3965">
        <w:rPr>
          <w:rFonts w:ascii="Arial" w:hAnsi="Arial" w:cs="Arial"/>
        </w:rPr>
        <w:t>gemäß Anforderung 4.7. das „individuelle Projekt“ und die hierüber vorliegende „rechtliche Vereinbarung“.</w:t>
      </w:r>
    </w:p>
    <w:p w14:paraId="2D3FB127" w14:textId="72261EDF" w:rsidR="001B7C7E" w:rsidRPr="007F2B03" w:rsidRDefault="001B7C7E" w:rsidP="00301CE3">
      <w:pPr>
        <w:rPr>
          <w:rFonts w:ascii="Arial" w:hAnsi="Arial" w:cs="Arial"/>
          <w:b/>
          <w:u w:val="single"/>
        </w:rPr>
      </w:pPr>
      <w:r w:rsidRPr="007F2B03">
        <w:rPr>
          <w:rFonts w:ascii="Arial" w:hAnsi="Arial" w:cs="Arial"/>
          <w:b/>
          <w:u w:val="single"/>
        </w:rPr>
        <w:lastRenderedPageBreak/>
        <w:t>II. Bewertung</w:t>
      </w:r>
    </w:p>
    <w:p w14:paraId="7CE4B509" w14:textId="209B2C7B" w:rsidR="001F3497" w:rsidRDefault="001F3497" w:rsidP="001F3497">
      <w:pPr>
        <w:rPr>
          <w:rFonts w:ascii="Arial" w:hAnsi="Arial" w:cs="Arial"/>
          <w:szCs w:val="20"/>
        </w:rPr>
      </w:pPr>
      <w:r w:rsidRPr="002224FB">
        <w:rPr>
          <w:rFonts w:ascii="Arial" w:hAnsi="Arial" w:cs="Arial"/>
          <w:szCs w:val="20"/>
        </w:rPr>
        <w:t xml:space="preserve">Im Ergebnis ist die Anforderung an die </w:t>
      </w:r>
      <w:r>
        <w:rPr>
          <w:rFonts w:ascii="Arial" w:hAnsi="Arial" w:cs="Arial"/>
          <w:szCs w:val="20"/>
        </w:rPr>
        <w:t>Desaggregierung von Daten</w:t>
      </w:r>
      <w:r w:rsidRPr="002224FB">
        <w:rPr>
          <w:rFonts w:ascii="Arial" w:hAnsi="Arial" w:cs="Arial"/>
          <w:szCs w:val="20"/>
        </w:rPr>
        <w:t xml:space="preserve"> gemäß </w:t>
      </w:r>
      <w:r>
        <w:rPr>
          <w:rFonts w:ascii="Arial" w:hAnsi="Arial" w:cs="Arial"/>
          <w:szCs w:val="20"/>
        </w:rPr>
        <w:t>Ziffer</w:t>
      </w:r>
      <w:r w:rsidRPr="002224F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4.7</w:t>
      </w:r>
      <w:r w:rsidRPr="002224F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des </w:t>
      </w:r>
      <w:r w:rsidRPr="002224FB">
        <w:rPr>
          <w:rFonts w:ascii="Arial" w:hAnsi="Arial" w:cs="Arial"/>
          <w:szCs w:val="20"/>
        </w:rPr>
        <w:t>EITI Standard</w:t>
      </w:r>
      <w:r>
        <w:rPr>
          <w:rFonts w:ascii="Arial" w:hAnsi="Arial" w:cs="Arial"/>
          <w:szCs w:val="20"/>
        </w:rPr>
        <w:t xml:space="preserve">s </w:t>
      </w:r>
      <w:r w:rsidRPr="003A5280">
        <w:rPr>
          <w:rFonts w:ascii="Arial" w:hAnsi="Arial" w:cs="Arial"/>
          <w:szCs w:val="20"/>
          <w:u w:val="single"/>
        </w:rPr>
        <w:t>vollständig erfüllt</w:t>
      </w:r>
      <w:r>
        <w:rPr>
          <w:rFonts w:ascii="Arial" w:hAnsi="Arial" w:cs="Arial"/>
          <w:szCs w:val="20"/>
        </w:rPr>
        <w:t xml:space="preserve">. </w:t>
      </w:r>
    </w:p>
    <w:p w14:paraId="7C063F20" w14:textId="77777777" w:rsidR="008D78DD" w:rsidRPr="001F3497" w:rsidRDefault="008D78DD" w:rsidP="001F3497">
      <w:pPr>
        <w:rPr>
          <w:rFonts w:ascii="Arial" w:hAnsi="Arial" w:cs="Arial"/>
          <w:szCs w:val="20"/>
        </w:rPr>
      </w:pPr>
    </w:p>
    <w:p w14:paraId="5153EA6D" w14:textId="53455096" w:rsidR="00BD5845" w:rsidRPr="001F3497" w:rsidRDefault="004417C7" w:rsidP="007B4CB8">
      <w:pPr>
        <w:spacing w:before="120"/>
        <w:rPr>
          <w:rFonts w:ascii="Arial" w:hAnsi="Arial" w:cs="Arial"/>
          <w:b/>
        </w:rPr>
      </w:pPr>
      <w:r w:rsidRPr="001F3497">
        <w:rPr>
          <w:rFonts w:ascii="Arial" w:hAnsi="Arial" w:cs="Arial"/>
          <w:b/>
        </w:rPr>
        <w:t>1</w:t>
      </w:r>
      <w:r w:rsidR="001F3497" w:rsidRPr="001F3497">
        <w:rPr>
          <w:rFonts w:ascii="Arial" w:hAnsi="Arial" w:cs="Arial"/>
          <w:b/>
        </w:rPr>
        <w:t>.</w:t>
      </w:r>
      <w:r w:rsidR="00BD5845" w:rsidRPr="001F3497">
        <w:rPr>
          <w:rFonts w:ascii="Arial" w:hAnsi="Arial" w:cs="Arial"/>
          <w:b/>
        </w:rPr>
        <w:t xml:space="preserve"> Definition </w:t>
      </w:r>
      <w:r w:rsidR="001F3497" w:rsidRPr="001F3497">
        <w:rPr>
          <w:rFonts w:ascii="Arial" w:hAnsi="Arial" w:cs="Arial"/>
          <w:b/>
        </w:rPr>
        <w:t xml:space="preserve">des </w:t>
      </w:r>
      <w:r w:rsidR="00BD5845" w:rsidRPr="001F3497">
        <w:rPr>
          <w:rFonts w:ascii="Arial" w:hAnsi="Arial" w:cs="Arial"/>
          <w:b/>
        </w:rPr>
        <w:t>D-EITI Projektbegriff</w:t>
      </w:r>
      <w:r w:rsidR="001F3497" w:rsidRPr="001F3497">
        <w:rPr>
          <w:rFonts w:ascii="Arial" w:hAnsi="Arial" w:cs="Arial"/>
          <w:b/>
        </w:rPr>
        <w:t>s</w:t>
      </w:r>
    </w:p>
    <w:p w14:paraId="14DCD1ED" w14:textId="10518EAE" w:rsidR="008E71D2" w:rsidRDefault="001F3497" w:rsidP="008E7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D-EITI hat den Begriff des Projekts für sich definiert. </w:t>
      </w:r>
      <w:r w:rsidR="00993F3D" w:rsidRPr="007F2B03">
        <w:rPr>
          <w:rFonts w:ascii="Arial" w:hAnsi="Arial" w:cs="Arial"/>
        </w:rPr>
        <w:t xml:space="preserve">In Kapitel 10.a.iv geht der </w:t>
      </w:r>
      <w:r w:rsidR="00993F3D" w:rsidRPr="001F3497">
        <w:rPr>
          <w:rFonts w:ascii="Arial" w:hAnsi="Arial" w:cs="Arial"/>
        </w:rPr>
        <w:t xml:space="preserve">Unabhängige Verwalter </w:t>
      </w:r>
      <w:r w:rsidR="008E71D2" w:rsidRPr="001F3497">
        <w:rPr>
          <w:rFonts w:ascii="Arial" w:hAnsi="Arial" w:cs="Arial"/>
        </w:rPr>
        <w:t xml:space="preserve">(UV) </w:t>
      </w:r>
      <w:r>
        <w:rPr>
          <w:rFonts w:ascii="Arial" w:hAnsi="Arial" w:cs="Arial"/>
        </w:rPr>
        <w:t xml:space="preserve">darauf </w:t>
      </w:r>
      <w:r w:rsidR="00993F3D" w:rsidRPr="001F3497">
        <w:rPr>
          <w:rFonts w:ascii="Arial" w:hAnsi="Arial" w:cs="Arial"/>
        </w:rPr>
        <w:t>ein</w:t>
      </w:r>
      <w:r w:rsidR="00993F3D" w:rsidRPr="007F2B03">
        <w:rPr>
          <w:rFonts w:ascii="Arial" w:hAnsi="Arial" w:cs="Arial"/>
        </w:rPr>
        <w:t>.</w:t>
      </w:r>
      <w:r w:rsidR="00993F3D" w:rsidRPr="007F2B03">
        <w:rPr>
          <w:rStyle w:val="Funotenzeichen"/>
          <w:rFonts w:ascii="Arial" w:hAnsi="Arial" w:cs="Arial"/>
        </w:rPr>
        <w:footnoteReference w:id="3"/>
      </w:r>
      <w:r w:rsidR="00B57362" w:rsidRPr="007F2B03">
        <w:rPr>
          <w:rFonts w:ascii="Arial" w:hAnsi="Arial" w:cs="Arial"/>
        </w:rPr>
        <w:t xml:space="preserve"> </w:t>
      </w:r>
      <w:r w:rsidR="0094571C" w:rsidRPr="007F2B03">
        <w:rPr>
          <w:rFonts w:ascii="Arial" w:hAnsi="Arial" w:cs="Arial"/>
        </w:rPr>
        <w:t>Er</w:t>
      </w:r>
      <w:r w:rsidR="00B57362" w:rsidRPr="007F2B03">
        <w:rPr>
          <w:rFonts w:ascii="Arial" w:hAnsi="Arial" w:cs="Arial"/>
        </w:rPr>
        <w:t xml:space="preserve"> verweist darauf, dass die</w:t>
      </w:r>
      <w:r w:rsidR="004430C9" w:rsidRPr="007F2B03">
        <w:rPr>
          <w:rFonts w:ascii="Arial" w:hAnsi="Arial" w:cs="Arial"/>
        </w:rPr>
        <w:t xml:space="preserve"> MSG sich dazu entschieden</w:t>
      </w:r>
      <w:r w:rsidR="00B57362" w:rsidRPr="007F2B03">
        <w:rPr>
          <w:rFonts w:ascii="Arial" w:hAnsi="Arial" w:cs="Arial"/>
        </w:rPr>
        <w:t xml:space="preserve"> hat</w:t>
      </w:r>
      <w:r w:rsidR="004430C9" w:rsidRPr="007F2B03">
        <w:rPr>
          <w:rFonts w:ascii="Arial" w:hAnsi="Arial" w:cs="Arial"/>
        </w:rPr>
        <w:t xml:space="preserve">, Inhalt und Umfang des Projektbegriffs </w:t>
      </w:r>
      <w:r w:rsidR="00B57362" w:rsidRPr="007F2B03">
        <w:rPr>
          <w:rFonts w:ascii="Arial" w:hAnsi="Arial" w:cs="Arial"/>
        </w:rPr>
        <w:t>entsprechend</w:t>
      </w:r>
      <w:r w:rsidR="004430C9" w:rsidRPr="007F2B03">
        <w:rPr>
          <w:rFonts w:ascii="Arial" w:hAnsi="Arial" w:cs="Arial"/>
        </w:rPr>
        <w:t xml:space="preserve"> § 341 r Nr. 5 HGB umzusetzen.</w:t>
      </w:r>
      <w:r w:rsidR="00B861C5" w:rsidRPr="007F2B03">
        <w:rPr>
          <w:rStyle w:val="Funotenzeichen"/>
          <w:rFonts w:ascii="Arial" w:hAnsi="Arial" w:cs="Arial"/>
        </w:rPr>
        <w:footnoteReference w:id="4"/>
      </w:r>
      <w:r w:rsidR="00B861C5" w:rsidRPr="007F2B03">
        <w:rPr>
          <w:rFonts w:ascii="Arial" w:hAnsi="Arial" w:cs="Arial"/>
        </w:rPr>
        <w:t xml:space="preserve"> </w:t>
      </w:r>
      <w:r w:rsidR="007D5F8B" w:rsidRPr="007F2B03">
        <w:rPr>
          <w:rFonts w:ascii="Arial" w:hAnsi="Arial" w:cs="Arial"/>
        </w:rPr>
        <w:t>Die Vorschrift</w:t>
      </w:r>
      <w:r w:rsidR="007D5F8B">
        <w:rPr>
          <w:rFonts w:ascii="Arial" w:hAnsi="Arial" w:cs="Arial"/>
        </w:rPr>
        <w:t xml:space="preserve"> enthält Legaldefinitionen in Bezug auf Offenlegungspflichten bestimmter Unternehmen des Rohstoffsektors nach §§341q ff, 325ff HGB.</w:t>
      </w:r>
      <w:r w:rsidR="008E71D2">
        <w:rPr>
          <w:rFonts w:ascii="Arial" w:hAnsi="Arial" w:cs="Arial"/>
        </w:rPr>
        <w:t xml:space="preserve"> </w:t>
      </w:r>
    </w:p>
    <w:p w14:paraId="5E008A1F" w14:textId="47CBF6AF" w:rsidR="008E71D2" w:rsidRPr="008E71D2" w:rsidRDefault="008E71D2" w:rsidP="008E71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Pr="001F3497">
        <w:rPr>
          <w:rFonts w:ascii="Arial" w:hAnsi="Arial" w:cs="Arial"/>
          <w:u w:val="single"/>
        </w:rPr>
        <w:t>Projekt im Sinne des § 341r Nr. 5 HGB</w:t>
      </w:r>
      <w:r w:rsidRPr="001F3497">
        <w:rPr>
          <w:rStyle w:val="Funotenzeichen"/>
          <w:rFonts w:ascii="Arial" w:hAnsi="Arial" w:cs="Arial"/>
          <w:u w:val="single"/>
        </w:rPr>
        <w:footnoteReference w:id="5"/>
      </w:r>
      <w:r w:rsidRPr="001F3497">
        <w:rPr>
          <w:rFonts w:ascii="Arial" w:hAnsi="Arial" w:cs="Arial"/>
          <w:u w:val="single"/>
        </w:rPr>
        <w:t xml:space="preserve"> ist die Zusammenfassung operativer Tätigkeiten</w:t>
      </w:r>
      <w:r w:rsidRPr="008E71D2">
        <w:rPr>
          <w:rFonts w:ascii="Arial" w:hAnsi="Arial" w:cs="Arial"/>
        </w:rPr>
        <w:t>, die die Grundlage für Zahlungsverpflichtungen gegenüber einer staatlichen Stelle bilden und sich richten nach</w:t>
      </w:r>
    </w:p>
    <w:p w14:paraId="55BFA1B3" w14:textId="77777777" w:rsidR="008E71D2" w:rsidRPr="008E71D2" w:rsidRDefault="008E71D2" w:rsidP="00BD5845">
      <w:pPr>
        <w:ind w:left="284"/>
        <w:rPr>
          <w:rFonts w:ascii="Arial" w:hAnsi="Arial" w:cs="Arial"/>
        </w:rPr>
      </w:pPr>
      <w:r w:rsidRPr="008E71D2">
        <w:rPr>
          <w:rFonts w:ascii="Arial" w:hAnsi="Arial" w:cs="Arial"/>
        </w:rPr>
        <w:t xml:space="preserve">a) einem Vertrag, einer Lizenz, einem Mietvertrag, einer Konzession oder </w:t>
      </w:r>
      <w:r w:rsidRPr="001F3497">
        <w:rPr>
          <w:rFonts w:ascii="Arial" w:hAnsi="Arial" w:cs="Arial"/>
          <w:u w:val="single"/>
        </w:rPr>
        <w:t>einer ähnlichen rechtlichen Vereinbarung</w:t>
      </w:r>
      <w:r w:rsidRPr="008E71D2">
        <w:rPr>
          <w:rFonts w:ascii="Arial" w:hAnsi="Arial" w:cs="Arial"/>
        </w:rPr>
        <w:t xml:space="preserve"> oder</w:t>
      </w:r>
    </w:p>
    <w:p w14:paraId="46EE4883" w14:textId="6D51B1FD" w:rsidR="007D5F8B" w:rsidRDefault="008E71D2" w:rsidP="00BD5845">
      <w:pPr>
        <w:ind w:left="284"/>
        <w:rPr>
          <w:rFonts w:ascii="Arial" w:hAnsi="Arial" w:cs="Arial"/>
        </w:rPr>
      </w:pPr>
      <w:r w:rsidRPr="008E71D2">
        <w:rPr>
          <w:rFonts w:ascii="Arial" w:hAnsi="Arial" w:cs="Arial"/>
        </w:rPr>
        <w:t xml:space="preserve">b) einer </w:t>
      </w:r>
      <w:r w:rsidRPr="001F3497">
        <w:rPr>
          <w:rFonts w:ascii="Arial" w:hAnsi="Arial" w:cs="Arial"/>
          <w:bCs/>
          <w:u w:val="single"/>
        </w:rPr>
        <w:t>Gesamtheit</w:t>
      </w:r>
      <w:r w:rsidRPr="008E71D2">
        <w:rPr>
          <w:rFonts w:ascii="Arial" w:hAnsi="Arial" w:cs="Arial"/>
        </w:rPr>
        <w:t xml:space="preserve"> von operativ und geografisch verbundenen Verträgen, Lizenzen, Mietverträgen oder Konzessionen oder damit verbundenen Vereinbarungen mit einer staatlichen Stelle, die im Wesentlichen ähnliche Bedingungen vorsehen.</w:t>
      </w:r>
    </w:p>
    <w:p w14:paraId="2DBDD9A4" w14:textId="037F116A" w:rsidR="007D5F8B" w:rsidRDefault="001F3497" w:rsidP="00B57362">
      <w:pPr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7D5F8B">
        <w:rPr>
          <w:rFonts w:ascii="Arial" w:hAnsi="Arial" w:cs="Arial"/>
        </w:rPr>
        <w:t xml:space="preserve"> Anlehnung an HGB-Vorschriften sollte </w:t>
      </w:r>
      <w:r>
        <w:rPr>
          <w:rFonts w:ascii="Arial" w:hAnsi="Arial" w:cs="Arial"/>
        </w:rPr>
        <w:t xml:space="preserve">dem </w:t>
      </w:r>
      <w:r w:rsidRPr="001F3497">
        <w:rPr>
          <w:rFonts w:ascii="Arial" w:hAnsi="Arial" w:cs="Arial"/>
          <w:u w:val="single"/>
        </w:rPr>
        <w:t xml:space="preserve">Zweck </w:t>
      </w:r>
      <w:r>
        <w:rPr>
          <w:rFonts w:ascii="Arial" w:hAnsi="Arial" w:cs="Arial"/>
        </w:rPr>
        <w:t xml:space="preserve">dienen, </w:t>
      </w:r>
      <w:r w:rsidR="007D5F8B">
        <w:rPr>
          <w:rFonts w:ascii="Arial" w:hAnsi="Arial" w:cs="Arial"/>
        </w:rPr>
        <w:t xml:space="preserve">eine möglichst </w:t>
      </w:r>
      <w:r w:rsidR="007D5F8B" w:rsidRPr="001F3497">
        <w:rPr>
          <w:rFonts w:ascii="Arial" w:hAnsi="Arial" w:cs="Arial"/>
          <w:u w:val="single"/>
        </w:rPr>
        <w:t>breite Beteiligung der Unternehmen</w:t>
      </w:r>
      <w:r w:rsidR="007D5F8B">
        <w:rPr>
          <w:rFonts w:ascii="Arial" w:hAnsi="Arial" w:cs="Arial"/>
        </w:rPr>
        <w:t xml:space="preserve"> geschaffen und mögliche </w:t>
      </w:r>
      <w:r w:rsidR="007D5F8B" w:rsidRPr="001F3497">
        <w:rPr>
          <w:rFonts w:ascii="Arial" w:hAnsi="Arial" w:cs="Arial"/>
          <w:u w:val="single"/>
        </w:rPr>
        <w:t>Doppelbelastungen</w:t>
      </w:r>
      <w:r w:rsidR="008E71D2">
        <w:rPr>
          <w:rFonts w:ascii="Arial" w:hAnsi="Arial" w:cs="Arial"/>
        </w:rPr>
        <w:t xml:space="preserve"> für sie</w:t>
      </w:r>
      <w:r w:rsidR="007D5F8B">
        <w:rPr>
          <w:rFonts w:ascii="Arial" w:hAnsi="Arial" w:cs="Arial"/>
        </w:rPr>
        <w:t xml:space="preserve"> aufgrund der Teilnahme an EITI</w:t>
      </w:r>
      <w:r w:rsidR="007D5F8B" w:rsidRPr="001F3497">
        <w:rPr>
          <w:rFonts w:ascii="Arial" w:hAnsi="Arial" w:cs="Arial"/>
        </w:rPr>
        <w:t xml:space="preserve"> vermieden </w:t>
      </w:r>
      <w:r w:rsidR="007D5F8B">
        <w:rPr>
          <w:rFonts w:ascii="Arial" w:hAnsi="Arial" w:cs="Arial"/>
        </w:rPr>
        <w:t>werden.</w:t>
      </w:r>
      <w:r w:rsidR="001B7C7E">
        <w:rPr>
          <w:rStyle w:val="Funotenzeichen"/>
          <w:rFonts w:ascii="Arial" w:hAnsi="Arial" w:cs="Arial"/>
        </w:rPr>
        <w:footnoteReference w:id="6"/>
      </w:r>
    </w:p>
    <w:p w14:paraId="7702C69A" w14:textId="77777777" w:rsidR="00BD5845" w:rsidRPr="007B4CB8" w:rsidRDefault="00BD5845" w:rsidP="008E71D2">
      <w:pPr>
        <w:rPr>
          <w:rFonts w:ascii="Arial" w:hAnsi="Arial" w:cs="Arial"/>
          <w:bCs/>
          <w:sz w:val="10"/>
          <w:szCs w:val="10"/>
          <w:u w:val="single"/>
        </w:rPr>
      </w:pPr>
    </w:p>
    <w:p w14:paraId="6C37D3B5" w14:textId="2055AB37" w:rsidR="00BD5845" w:rsidRPr="001F3497" w:rsidRDefault="004417C7" w:rsidP="008E71D2">
      <w:pPr>
        <w:rPr>
          <w:rFonts w:ascii="Arial" w:hAnsi="Arial" w:cs="Arial"/>
          <w:b/>
          <w:bCs/>
        </w:rPr>
      </w:pPr>
      <w:r w:rsidRPr="001F3497">
        <w:rPr>
          <w:rFonts w:ascii="Arial" w:hAnsi="Arial" w:cs="Arial"/>
          <w:b/>
          <w:bCs/>
        </w:rPr>
        <w:t>2</w:t>
      </w:r>
      <w:r w:rsidR="001F3497" w:rsidRPr="001F3497">
        <w:rPr>
          <w:rFonts w:ascii="Arial" w:hAnsi="Arial" w:cs="Arial"/>
          <w:b/>
          <w:bCs/>
        </w:rPr>
        <w:t>.</w:t>
      </w:r>
      <w:r w:rsidR="00BD5845" w:rsidRPr="001F3497">
        <w:rPr>
          <w:rFonts w:ascii="Arial" w:hAnsi="Arial" w:cs="Arial"/>
          <w:b/>
          <w:bCs/>
        </w:rPr>
        <w:t xml:space="preserve"> Ermittlung der Höhe der Feldes- und Förderabgaben nach BBergG</w:t>
      </w:r>
    </w:p>
    <w:p w14:paraId="63ED200B" w14:textId="736FDA47" w:rsidR="00B81462" w:rsidRPr="001F3497" w:rsidRDefault="00B81462" w:rsidP="008E71D2">
      <w:pPr>
        <w:rPr>
          <w:rFonts w:ascii="Arial" w:hAnsi="Arial" w:cs="Arial"/>
          <w:u w:val="single"/>
        </w:rPr>
      </w:pPr>
      <w:r w:rsidRPr="001F3497">
        <w:rPr>
          <w:rFonts w:ascii="Arial" w:hAnsi="Arial" w:cs="Arial"/>
          <w:u w:val="single"/>
        </w:rPr>
        <w:t xml:space="preserve">Die genaue Ermittlung der </w:t>
      </w:r>
      <w:r w:rsidR="00BD5845" w:rsidRPr="001F3497">
        <w:rPr>
          <w:rFonts w:ascii="Arial" w:hAnsi="Arial" w:cs="Arial"/>
          <w:u w:val="single"/>
        </w:rPr>
        <w:t xml:space="preserve">Höhe der </w:t>
      </w:r>
      <w:r w:rsidRPr="001F3497">
        <w:rPr>
          <w:rFonts w:ascii="Arial" w:hAnsi="Arial" w:cs="Arial"/>
          <w:u w:val="single"/>
        </w:rPr>
        <w:t>Feldes- und Förderabgaben ist der Offenlegung von hieraus resultierenden Daten vorangestellt</w:t>
      </w:r>
      <w:r w:rsidR="000233FA" w:rsidRPr="001F3497">
        <w:rPr>
          <w:rFonts w:ascii="Arial" w:hAnsi="Arial" w:cs="Arial"/>
          <w:u w:val="single"/>
        </w:rPr>
        <w:t>:</w:t>
      </w:r>
    </w:p>
    <w:p w14:paraId="1399D918" w14:textId="00C5221F" w:rsidR="008C74D7" w:rsidRDefault="007F4704" w:rsidP="008E71D2">
      <w:pPr>
        <w:rPr>
          <w:rFonts w:ascii="Arial" w:eastAsia="Times New Roman" w:hAnsi="Arial" w:cs="Arial"/>
        </w:rPr>
      </w:pPr>
      <w:r w:rsidRPr="001F3497">
        <w:rPr>
          <w:rFonts w:ascii="Arial" w:eastAsia="Times New Roman" w:hAnsi="Arial" w:cs="Arial"/>
          <w:u w:val="single"/>
        </w:rPr>
        <w:t>Der Bundesgesetzgeber hat den Maßstab und die Regelsätze für die Abgaben eigens im BBergG festgelegt.</w:t>
      </w:r>
      <w:r>
        <w:rPr>
          <w:rFonts w:ascii="Arial" w:eastAsia="Times New Roman" w:hAnsi="Arial" w:cs="Arial"/>
          <w:b/>
        </w:rPr>
        <w:t xml:space="preserve"> </w:t>
      </w:r>
      <w:r w:rsidRPr="007F4704">
        <w:rPr>
          <w:rFonts w:ascii="Arial" w:eastAsia="Times New Roman" w:hAnsi="Arial" w:cs="Arial"/>
        </w:rPr>
        <w:t>Daher können</w:t>
      </w:r>
      <w:r>
        <w:rPr>
          <w:rFonts w:ascii="Arial" w:eastAsia="Times New Roman" w:hAnsi="Arial" w:cs="Arial"/>
          <w:b/>
        </w:rPr>
        <w:t xml:space="preserve"> </w:t>
      </w:r>
      <w:r w:rsidR="008E71D2" w:rsidRPr="009E4952">
        <w:rPr>
          <w:rFonts w:ascii="Arial" w:hAnsi="Arial" w:cs="Arial"/>
        </w:rPr>
        <w:t>Feldes- und Förderabgaben</w:t>
      </w:r>
      <w:r w:rsidR="00B81462" w:rsidRPr="009E4952">
        <w:rPr>
          <w:rFonts w:ascii="Arial" w:hAnsi="Arial" w:cs="Arial"/>
        </w:rPr>
        <w:t xml:space="preserve"> in Deutschland </w:t>
      </w:r>
      <w:r w:rsidR="0053521F" w:rsidRPr="009E4952">
        <w:rPr>
          <w:rFonts w:ascii="Arial" w:hAnsi="Arial" w:cs="Arial"/>
        </w:rPr>
        <w:t>mit Behörden</w:t>
      </w:r>
      <w:r w:rsidR="0053521F">
        <w:rPr>
          <w:rFonts w:ascii="Arial" w:hAnsi="Arial" w:cs="Arial"/>
          <w:b/>
        </w:rPr>
        <w:t xml:space="preserve"> </w:t>
      </w:r>
      <w:r w:rsidR="00F23FFA" w:rsidRPr="001F3497">
        <w:rPr>
          <w:rFonts w:ascii="Arial" w:hAnsi="Arial" w:cs="Arial"/>
          <w:u w:val="single"/>
        </w:rPr>
        <w:t>nicht frei</w:t>
      </w:r>
      <w:r w:rsidR="0053521F" w:rsidRPr="001F3497">
        <w:rPr>
          <w:rFonts w:ascii="Arial" w:hAnsi="Arial" w:cs="Arial"/>
          <w:u w:val="single"/>
        </w:rPr>
        <w:t xml:space="preserve"> </w:t>
      </w:r>
      <w:r w:rsidR="00F23FFA" w:rsidRPr="001F3497">
        <w:rPr>
          <w:rFonts w:ascii="Arial" w:hAnsi="Arial" w:cs="Arial"/>
          <w:u w:val="single"/>
        </w:rPr>
        <w:t>vertraglich vereinbar</w:t>
      </w:r>
      <w:r w:rsidR="0053521F" w:rsidRPr="001F3497">
        <w:rPr>
          <w:rFonts w:ascii="Arial" w:hAnsi="Arial" w:cs="Arial"/>
          <w:u w:val="single"/>
        </w:rPr>
        <w:t>t</w:t>
      </w:r>
      <w:r w:rsidR="00F23FFA" w:rsidRPr="008C74D7">
        <w:rPr>
          <w:rFonts w:ascii="Arial" w:hAnsi="Arial" w:cs="Arial"/>
          <w:b/>
        </w:rPr>
        <w:t xml:space="preserve"> </w:t>
      </w:r>
      <w:r w:rsidR="0053521F" w:rsidRPr="009E4952">
        <w:rPr>
          <w:rFonts w:ascii="Arial" w:hAnsi="Arial" w:cs="Arial"/>
        </w:rPr>
        <w:t>werden</w:t>
      </w:r>
      <w:r w:rsidR="008E71D2" w:rsidRPr="009E4952">
        <w:rPr>
          <w:rFonts w:ascii="Arial" w:hAnsi="Arial" w:cs="Arial"/>
        </w:rPr>
        <w:t>.</w:t>
      </w:r>
      <w:r w:rsidR="008E71D2">
        <w:rPr>
          <w:rFonts w:ascii="Arial" w:hAnsi="Arial" w:cs="Arial"/>
        </w:rPr>
        <w:t xml:space="preserve"> </w:t>
      </w:r>
      <w:r w:rsidR="008E71D2">
        <w:rPr>
          <w:rFonts w:ascii="Arial" w:eastAsia="Times New Roman" w:hAnsi="Arial" w:cs="Arial"/>
        </w:rPr>
        <w:t>Vielmehr ist die Entstehung der Feldes- und Förderabgabe</w:t>
      </w:r>
      <w:r w:rsidR="005B44FA">
        <w:rPr>
          <w:rFonts w:ascii="Arial" w:eastAsia="Times New Roman" w:hAnsi="Arial" w:cs="Arial"/>
        </w:rPr>
        <w:t>n</w:t>
      </w:r>
      <w:r w:rsidR="008E71D2">
        <w:rPr>
          <w:rFonts w:ascii="Arial" w:eastAsia="Times New Roman" w:hAnsi="Arial" w:cs="Arial"/>
        </w:rPr>
        <w:t xml:space="preserve"> im </w:t>
      </w:r>
      <w:r w:rsidR="008E71D2" w:rsidRPr="009E4952">
        <w:rPr>
          <w:rFonts w:ascii="Arial" w:eastAsia="Times New Roman" w:hAnsi="Arial" w:cs="Arial"/>
        </w:rPr>
        <w:t>Bundesberggesetz</w:t>
      </w:r>
      <w:r w:rsidR="008E71D2" w:rsidRPr="00F23FFA">
        <w:rPr>
          <w:rFonts w:ascii="Arial" w:eastAsia="Times New Roman" w:hAnsi="Arial" w:cs="Arial"/>
          <w:b/>
        </w:rPr>
        <w:t xml:space="preserve"> </w:t>
      </w:r>
      <w:r w:rsidR="00F23FFA">
        <w:rPr>
          <w:rFonts w:ascii="Arial" w:eastAsia="Times New Roman" w:hAnsi="Arial" w:cs="Arial"/>
        </w:rPr>
        <w:t xml:space="preserve">(BBergG) </w:t>
      </w:r>
      <w:r w:rsidR="008E71D2">
        <w:rPr>
          <w:rFonts w:ascii="Arial" w:eastAsia="Times New Roman" w:hAnsi="Arial" w:cs="Arial"/>
        </w:rPr>
        <w:t>geregelt</w:t>
      </w:r>
      <w:r w:rsidR="008C74D7">
        <w:rPr>
          <w:rFonts w:ascii="Arial" w:eastAsia="Times New Roman" w:hAnsi="Arial" w:cs="Arial"/>
        </w:rPr>
        <w:t>.</w:t>
      </w:r>
      <w:r w:rsidR="005B44FA">
        <w:rPr>
          <w:rFonts w:ascii="Arial" w:eastAsia="Times New Roman" w:hAnsi="Arial" w:cs="Arial"/>
        </w:rPr>
        <w:t xml:space="preserve"> </w:t>
      </w:r>
    </w:p>
    <w:p w14:paraId="2040AEB8" w14:textId="3D29CD08" w:rsidR="00B81462" w:rsidRDefault="005B44FA" w:rsidP="008E71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Wer</w:t>
      </w:r>
      <w:r w:rsidR="001B7C7E">
        <w:rPr>
          <w:rFonts w:ascii="Arial" w:eastAsia="Times New Roman" w:hAnsi="Arial" w:cs="Arial"/>
        </w:rPr>
        <w:t xml:space="preserve"> </w:t>
      </w:r>
      <w:r w:rsidR="001B7C7E" w:rsidRPr="001B7C7E">
        <w:rPr>
          <w:rFonts w:ascii="Arial" w:eastAsia="Times New Roman" w:hAnsi="Arial" w:cs="Arial"/>
        </w:rPr>
        <w:t>bergfreie Bodenschätze aufsuchen will, bedarf der Erlaubnis</w:t>
      </w:r>
      <w:r w:rsidR="001B7C7E">
        <w:rPr>
          <w:rFonts w:ascii="Arial" w:eastAsia="Times New Roman" w:hAnsi="Arial" w:cs="Arial"/>
        </w:rPr>
        <w:t xml:space="preserve"> (§ 7 BBergG)</w:t>
      </w:r>
      <w:r w:rsidR="001B7C7E" w:rsidRPr="001B7C7E">
        <w:rPr>
          <w:rFonts w:ascii="Arial" w:eastAsia="Times New Roman" w:hAnsi="Arial" w:cs="Arial"/>
        </w:rPr>
        <w:t xml:space="preserve">, wer </w:t>
      </w:r>
      <w:r w:rsidR="00342136">
        <w:rPr>
          <w:rFonts w:ascii="Arial" w:eastAsia="Times New Roman" w:hAnsi="Arial" w:cs="Arial"/>
        </w:rPr>
        <w:t>sie</w:t>
      </w:r>
      <w:r w:rsidR="001B7C7E" w:rsidRPr="001B7C7E">
        <w:rPr>
          <w:rFonts w:ascii="Arial" w:eastAsia="Times New Roman" w:hAnsi="Arial" w:cs="Arial"/>
        </w:rPr>
        <w:t xml:space="preserve"> gewinnen will, der Bewilligung </w:t>
      </w:r>
      <w:r w:rsidR="001B7C7E">
        <w:rPr>
          <w:rFonts w:ascii="Arial" w:eastAsia="Times New Roman" w:hAnsi="Arial" w:cs="Arial"/>
        </w:rPr>
        <w:t xml:space="preserve">(§ 8 BBergG) </w:t>
      </w:r>
      <w:r w:rsidR="001B7C7E" w:rsidRPr="001B7C7E">
        <w:rPr>
          <w:rFonts w:ascii="Arial" w:eastAsia="Times New Roman" w:hAnsi="Arial" w:cs="Arial"/>
        </w:rPr>
        <w:t>oder des Bergwerkseigentums</w:t>
      </w:r>
      <w:r w:rsidR="00342136">
        <w:rPr>
          <w:rFonts w:ascii="Arial" w:eastAsia="Times New Roman" w:hAnsi="Arial" w:cs="Arial"/>
        </w:rPr>
        <w:t xml:space="preserve"> (§ 9 BBergG)</w:t>
      </w:r>
      <w:r w:rsidR="001B7C7E" w:rsidRPr="001B7C7E">
        <w:rPr>
          <w:rFonts w:ascii="Arial" w:eastAsia="Times New Roman" w:hAnsi="Arial" w:cs="Arial"/>
        </w:rPr>
        <w:t xml:space="preserve">. </w:t>
      </w:r>
      <w:r w:rsidR="00342136">
        <w:rPr>
          <w:rFonts w:ascii="Arial" w:eastAsia="Times New Roman" w:hAnsi="Arial" w:cs="Arial"/>
        </w:rPr>
        <w:t>Hierfür ist ein schriftlicher Antrag bei der zuständigen Behörde zu stellen (§ 10 BBergG).</w:t>
      </w:r>
      <w:r>
        <w:rPr>
          <w:rFonts w:ascii="Arial" w:eastAsia="Times New Roman" w:hAnsi="Arial" w:cs="Arial"/>
        </w:rPr>
        <w:t xml:space="preserve"> </w:t>
      </w:r>
    </w:p>
    <w:p w14:paraId="781FA63B" w14:textId="77777777" w:rsidR="00A00F46" w:rsidRDefault="005B44FA" w:rsidP="008E71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Die Behörde prüft den Antrag und erteilt die Berechtigung auf gesetzlicher Grundlage </w:t>
      </w:r>
      <w:r w:rsidRPr="001F3497">
        <w:rPr>
          <w:rFonts w:ascii="Arial" w:eastAsia="Times New Roman" w:hAnsi="Arial" w:cs="Arial"/>
          <w:u w:val="single"/>
        </w:rPr>
        <w:t xml:space="preserve">für ein bestimmtes Feld </w:t>
      </w:r>
      <w:r>
        <w:rPr>
          <w:rFonts w:ascii="Arial" w:eastAsia="Times New Roman" w:hAnsi="Arial" w:cs="Arial"/>
        </w:rPr>
        <w:t xml:space="preserve">(Erlaubnisfeld </w:t>
      </w:r>
      <w:proofErr w:type="spellStart"/>
      <w:r>
        <w:rPr>
          <w:rFonts w:ascii="Arial" w:eastAsia="Times New Roman" w:hAnsi="Arial" w:cs="Arial"/>
        </w:rPr>
        <w:t>i.S.d</w:t>
      </w:r>
      <w:proofErr w:type="spellEnd"/>
      <w:r>
        <w:rPr>
          <w:rFonts w:ascii="Arial" w:eastAsia="Times New Roman" w:hAnsi="Arial" w:cs="Arial"/>
        </w:rPr>
        <w:t xml:space="preserve">. § 7 Abs. 1 BBergG bzw. Bewilligungsfeld </w:t>
      </w:r>
      <w:proofErr w:type="spellStart"/>
      <w:r>
        <w:rPr>
          <w:rFonts w:ascii="Arial" w:eastAsia="Times New Roman" w:hAnsi="Arial" w:cs="Arial"/>
        </w:rPr>
        <w:t>i.S.d</w:t>
      </w:r>
      <w:proofErr w:type="spellEnd"/>
      <w:r>
        <w:rPr>
          <w:rFonts w:ascii="Arial" w:eastAsia="Times New Roman" w:hAnsi="Arial" w:cs="Arial"/>
        </w:rPr>
        <w:t xml:space="preserve">. § 8 Abs. 1 BBergG). </w:t>
      </w:r>
    </w:p>
    <w:p w14:paraId="4C7E1AB8" w14:textId="77777777" w:rsidR="00A00F46" w:rsidRDefault="008E71D2" w:rsidP="00A00F46">
      <w:pPr>
        <w:pStyle w:val="Listenabsatz"/>
        <w:numPr>
          <w:ilvl w:val="0"/>
          <w:numId w:val="2"/>
        </w:numPr>
        <w:ind w:left="426"/>
        <w:rPr>
          <w:rFonts w:ascii="Arial" w:eastAsia="Times New Roman" w:hAnsi="Arial" w:cs="Arial"/>
        </w:rPr>
      </w:pPr>
      <w:r w:rsidRPr="00A00F46">
        <w:rPr>
          <w:rFonts w:ascii="Arial" w:eastAsia="Times New Roman" w:hAnsi="Arial" w:cs="Arial"/>
        </w:rPr>
        <w:t xml:space="preserve">Der Erlaubnisinhaber ist gesetzlich verpflichtet, für die </w:t>
      </w:r>
      <w:r w:rsidR="008C74D7" w:rsidRPr="00A00F46">
        <w:rPr>
          <w:rFonts w:ascii="Arial" w:eastAsia="Times New Roman" w:hAnsi="Arial" w:cs="Arial"/>
        </w:rPr>
        <w:t xml:space="preserve">gewerbliche </w:t>
      </w:r>
      <w:r w:rsidRPr="00A00F46">
        <w:rPr>
          <w:rFonts w:ascii="Arial" w:eastAsia="Times New Roman" w:hAnsi="Arial" w:cs="Arial"/>
        </w:rPr>
        <w:t xml:space="preserve">Aufsuchung </w:t>
      </w:r>
      <w:r w:rsidR="005B44FA" w:rsidRPr="00A00F46">
        <w:rPr>
          <w:rFonts w:ascii="Arial" w:eastAsia="Times New Roman" w:hAnsi="Arial" w:cs="Arial"/>
        </w:rPr>
        <w:t xml:space="preserve">jährlich eine </w:t>
      </w:r>
      <w:proofErr w:type="spellStart"/>
      <w:r w:rsidR="005B44FA" w:rsidRPr="00A00F46">
        <w:rPr>
          <w:rFonts w:ascii="Arial" w:eastAsia="Times New Roman" w:hAnsi="Arial" w:cs="Arial"/>
        </w:rPr>
        <w:t>Feldesabgabe</w:t>
      </w:r>
      <w:proofErr w:type="spellEnd"/>
      <w:r w:rsidR="005B44FA" w:rsidRPr="00A00F46">
        <w:rPr>
          <w:rFonts w:ascii="Arial" w:eastAsia="Times New Roman" w:hAnsi="Arial" w:cs="Arial"/>
        </w:rPr>
        <w:t xml:space="preserve"> </w:t>
      </w:r>
      <w:r w:rsidRPr="00A00F46">
        <w:rPr>
          <w:rFonts w:ascii="Arial" w:eastAsia="Times New Roman" w:hAnsi="Arial" w:cs="Arial"/>
        </w:rPr>
        <w:t xml:space="preserve">zu entrichten (§ 30 BBergG). </w:t>
      </w:r>
      <w:r w:rsidR="007535F3" w:rsidRPr="00A00F46">
        <w:rPr>
          <w:rFonts w:ascii="Arial" w:eastAsia="Times New Roman" w:hAnsi="Arial" w:cs="Arial"/>
        </w:rPr>
        <w:t xml:space="preserve">Die Höhe der </w:t>
      </w:r>
      <w:proofErr w:type="spellStart"/>
      <w:r w:rsidR="007535F3" w:rsidRPr="00A00F46">
        <w:rPr>
          <w:rFonts w:ascii="Arial" w:eastAsia="Times New Roman" w:hAnsi="Arial" w:cs="Arial"/>
        </w:rPr>
        <w:t>Feldesabgabe</w:t>
      </w:r>
      <w:proofErr w:type="spellEnd"/>
      <w:r w:rsidR="007535F3" w:rsidRPr="00A00F46">
        <w:rPr>
          <w:rFonts w:ascii="Arial" w:eastAsia="Times New Roman" w:hAnsi="Arial" w:cs="Arial"/>
        </w:rPr>
        <w:t xml:space="preserve"> richtet sich nach der </w:t>
      </w:r>
      <w:r w:rsidR="007535F3" w:rsidRPr="001F3497">
        <w:rPr>
          <w:rFonts w:ascii="Arial" w:eastAsia="Times New Roman" w:hAnsi="Arial" w:cs="Arial"/>
          <w:u w:val="single"/>
        </w:rPr>
        <w:t>Größe des Feldes in Quadratkilometern</w:t>
      </w:r>
      <w:r w:rsidR="007535F3" w:rsidRPr="00A00F46">
        <w:rPr>
          <w:rFonts w:ascii="Arial" w:eastAsia="Times New Roman" w:hAnsi="Arial" w:cs="Arial"/>
        </w:rPr>
        <w:t xml:space="preserve"> und wächst mit der Dauer der Erlaubnis (§ 30 Abs. 3 BBergG). </w:t>
      </w:r>
    </w:p>
    <w:p w14:paraId="13C7E380" w14:textId="1C7B5E51" w:rsidR="00F23FFA" w:rsidRDefault="0092042C" w:rsidP="00A00F46">
      <w:pPr>
        <w:pStyle w:val="Listenabsatz"/>
        <w:numPr>
          <w:ilvl w:val="0"/>
          <w:numId w:val="2"/>
        </w:numPr>
        <w:spacing w:before="120"/>
        <w:ind w:left="426" w:hanging="357"/>
        <w:contextualSpacing w:val="0"/>
        <w:rPr>
          <w:rFonts w:ascii="Arial" w:eastAsia="Times New Roman" w:hAnsi="Arial" w:cs="Arial"/>
        </w:rPr>
      </w:pPr>
      <w:r w:rsidRPr="00A00F46">
        <w:rPr>
          <w:rFonts w:ascii="Arial" w:eastAsia="Times New Roman" w:hAnsi="Arial" w:cs="Arial"/>
        </w:rPr>
        <w:lastRenderedPageBreak/>
        <w:t xml:space="preserve">Der Bewilligungsinhaber oder Bergwerkseigentümer muss </w:t>
      </w:r>
      <w:r w:rsidR="00F707E0" w:rsidRPr="00A00F46">
        <w:rPr>
          <w:rFonts w:ascii="Arial" w:eastAsia="Times New Roman" w:hAnsi="Arial" w:cs="Arial"/>
        </w:rPr>
        <w:t xml:space="preserve">für die Gewinnung </w:t>
      </w:r>
      <w:r w:rsidRPr="00A00F46">
        <w:rPr>
          <w:rFonts w:ascii="Arial" w:eastAsia="Times New Roman" w:hAnsi="Arial" w:cs="Arial"/>
        </w:rPr>
        <w:t>jährlich eine Förderabgabe zahlen (§ 31 Abs. 1 BBergG).</w:t>
      </w:r>
      <w:r w:rsidR="007535F3" w:rsidRPr="00A00F46">
        <w:rPr>
          <w:rFonts w:ascii="Arial" w:eastAsia="Times New Roman" w:hAnsi="Arial" w:cs="Arial"/>
        </w:rPr>
        <w:t xml:space="preserve"> </w:t>
      </w:r>
      <w:r w:rsidRPr="00A00F46">
        <w:rPr>
          <w:rFonts w:ascii="Arial" w:eastAsia="Times New Roman" w:hAnsi="Arial" w:cs="Arial"/>
        </w:rPr>
        <w:t>Die Höhe der Förderabgabe</w:t>
      </w:r>
      <w:r w:rsidR="008E71D2" w:rsidRPr="00A00F46">
        <w:rPr>
          <w:rFonts w:ascii="Arial" w:eastAsia="Times New Roman" w:hAnsi="Arial" w:cs="Arial"/>
        </w:rPr>
        <w:t xml:space="preserve"> richtet sich nach dem </w:t>
      </w:r>
      <w:r w:rsidR="008E71D2" w:rsidRPr="001F3497">
        <w:rPr>
          <w:rFonts w:ascii="Arial" w:eastAsia="Times New Roman" w:hAnsi="Arial" w:cs="Arial"/>
          <w:u w:val="single"/>
        </w:rPr>
        <w:t xml:space="preserve">durchschnittlichen </w:t>
      </w:r>
      <w:r w:rsidR="0003231A" w:rsidRPr="001F3497">
        <w:rPr>
          <w:rFonts w:ascii="Arial" w:eastAsia="Times New Roman" w:hAnsi="Arial" w:cs="Arial"/>
          <w:u w:val="single"/>
        </w:rPr>
        <w:t>W</w:t>
      </w:r>
      <w:r w:rsidR="008E71D2" w:rsidRPr="001F3497">
        <w:rPr>
          <w:rFonts w:ascii="Arial" w:eastAsia="Times New Roman" w:hAnsi="Arial" w:cs="Arial"/>
          <w:u w:val="single"/>
        </w:rPr>
        <w:t>ert der gewonnenen Bodenschätze</w:t>
      </w:r>
      <w:r w:rsidR="008E71D2" w:rsidRPr="00A00F46">
        <w:rPr>
          <w:rFonts w:ascii="Arial" w:eastAsia="Times New Roman" w:hAnsi="Arial" w:cs="Arial"/>
          <w:b/>
        </w:rPr>
        <w:t xml:space="preserve"> </w:t>
      </w:r>
      <w:r w:rsidR="008E71D2" w:rsidRPr="00A00F46">
        <w:rPr>
          <w:rFonts w:ascii="Arial" w:eastAsia="Times New Roman" w:hAnsi="Arial" w:cs="Arial"/>
        </w:rPr>
        <w:t>(§ 31 Abs. 2 BBergG).</w:t>
      </w:r>
    </w:p>
    <w:p w14:paraId="33B71632" w14:textId="77777777" w:rsidR="009062C4" w:rsidRDefault="00F707E0" w:rsidP="004417C7">
      <w:pPr>
        <w:spacing w:before="120"/>
        <w:rPr>
          <w:rFonts w:ascii="Arial" w:eastAsia="Times New Roman" w:hAnsi="Arial" w:cs="Arial"/>
        </w:rPr>
      </w:pPr>
      <w:r w:rsidRPr="001F3497">
        <w:rPr>
          <w:rFonts w:ascii="Arial" w:eastAsia="Times New Roman" w:hAnsi="Arial" w:cs="Arial"/>
          <w:bCs/>
          <w:u w:val="single"/>
        </w:rPr>
        <w:t xml:space="preserve">Die Landesregierungen passen die Regelsätze unter </w:t>
      </w:r>
      <w:r w:rsidR="00E1232E" w:rsidRPr="001F3497">
        <w:rPr>
          <w:rFonts w:ascii="Arial" w:eastAsia="Times New Roman" w:hAnsi="Arial" w:cs="Arial"/>
          <w:bCs/>
          <w:u w:val="single"/>
        </w:rPr>
        <w:t xml:space="preserve">Berücksichtigung der regionalen Besonderheiten und </w:t>
      </w:r>
      <w:r w:rsidRPr="001F3497">
        <w:rPr>
          <w:rFonts w:ascii="Arial" w:eastAsia="Times New Roman" w:hAnsi="Arial" w:cs="Arial"/>
          <w:bCs/>
          <w:u w:val="single"/>
        </w:rPr>
        <w:t>Beachtung der Vorgaben des BBergG</w:t>
      </w:r>
      <w:r>
        <w:rPr>
          <w:rFonts w:ascii="Arial" w:eastAsia="Times New Roman" w:hAnsi="Arial" w:cs="Arial"/>
        </w:rPr>
        <w:t xml:space="preserve"> und </w:t>
      </w:r>
      <w:r w:rsidRPr="004F5C77">
        <w:rPr>
          <w:rFonts w:ascii="Arial" w:eastAsia="Times New Roman" w:hAnsi="Arial" w:cs="Arial"/>
        </w:rPr>
        <w:t>der Rechtsprechung</w:t>
      </w:r>
      <w:r>
        <w:rPr>
          <w:rFonts w:ascii="Arial" w:eastAsia="Times New Roman" w:hAnsi="Arial" w:cs="Arial"/>
        </w:rPr>
        <w:t xml:space="preserve"> an.</w:t>
      </w:r>
      <w:r w:rsidR="007F470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Hierfür enthält</w:t>
      </w:r>
      <w:r w:rsidR="00144ECB">
        <w:rPr>
          <w:rFonts w:ascii="Arial" w:eastAsia="Times New Roman" w:hAnsi="Arial" w:cs="Arial"/>
        </w:rPr>
        <w:t xml:space="preserve"> § 32 BBergG </w:t>
      </w:r>
      <w:r>
        <w:rPr>
          <w:rFonts w:ascii="Arial" w:eastAsia="Times New Roman" w:hAnsi="Arial" w:cs="Arial"/>
        </w:rPr>
        <w:t>eine Ermächtigung</w:t>
      </w:r>
      <w:r w:rsidR="00144ECB">
        <w:rPr>
          <w:rFonts w:ascii="Arial" w:eastAsia="Times New Roman" w:hAnsi="Arial" w:cs="Arial"/>
        </w:rPr>
        <w:t xml:space="preserve">, die Feststellung, Erhebung und Änderung der Feldes- und Förderabgabe durch </w:t>
      </w:r>
      <w:r w:rsidR="00144ECB" w:rsidRPr="001F3497">
        <w:rPr>
          <w:rFonts w:ascii="Arial" w:eastAsia="Times New Roman" w:hAnsi="Arial" w:cs="Arial"/>
          <w:bCs/>
          <w:u w:val="single"/>
        </w:rPr>
        <w:t>Rechtsverordnung</w:t>
      </w:r>
      <w:r w:rsidR="00144ECB" w:rsidRPr="001F3497">
        <w:rPr>
          <w:rFonts w:ascii="Arial" w:eastAsia="Times New Roman" w:hAnsi="Arial" w:cs="Arial"/>
          <w:u w:val="single"/>
        </w:rPr>
        <w:t xml:space="preserve"> </w:t>
      </w:r>
      <w:r w:rsidR="00144ECB">
        <w:rPr>
          <w:rFonts w:ascii="Arial" w:eastAsia="Times New Roman" w:hAnsi="Arial" w:cs="Arial"/>
        </w:rPr>
        <w:t>näher zu regeln.</w:t>
      </w:r>
      <w:r w:rsidR="00144ECB">
        <w:rPr>
          <w:rStyle w:val="Funotenzeichen"/>
          <w:rFonts w:ascii="Arial" w:eastAsia="Times New Roman" w:hAnsi="Arial" w:cs="Arial"/>
        </w:rPr>
        <w:footnoteReference w:id="7"/>
      </w:r>
      <w:r w:rsidR="00144ECB">
        <w:rPr>
          <w:rFonts w:ascii="Arial" w:eastAsia="Times New Roman" w:hAnsi="Arial" w:cs="Arial"/>
        </w:rPr>
        <w:t xml:space="preserve"> </w:t>
      </w:r>
    </w:p>
    <w:p w14:paraId="4EAFC6E4" w14:textId="37222375" w:rsidR="00144ECB" w:rsidRDefault="00144ECB" w:rsidP="004417C7">
      <w:pPr>
        <w:spacing w:before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Beispielsweise sind in Niedersachsen die Einzelheiten in der </w:t>
      </w:r>
      <w:proofErr w:type="spellStart"/>
      <w:r>
        <w:rPr>
          <w:rFonts w:ascii="Arial" w:eastAsia="Times New Roman" w:hAnsi="Arial" w:cs="Arial"/>
        </w:rPr>
        <w:t>NFördAVO</w:t>
      </w:r>
      <w:proofErr w:type="spellEnd"/>
      <w:r>
        <w:rPr>
          <w:rFonts w:ascii="Arial" w:eastAsia="Times New Roman" w:hAnsi="Arial" w:cs="Arial"/>
        </w:rPr>
        <w:t xml:space="preserve"> geregelt.</w:t>
      </w:r>
      <w:r>
        <w:rPr>
          <w:rStyle w:val="Funotenzeichen"/>
          <w:rFonts w:ascii="Arial" w:eastAsia="Times New Roman" w:hAnsi="Arial" w:cs="Arial"/>
        </w:rPr>
        <w:footnoteReference w:id="8"/>
      </w:r>
      <w:r>
        <w:rPr>
          <w:rFonts w:ascii="Arial" w:eastAsia="Times New Roman" w:hAnsi="Arial" w:cs="Arial"/>
        </w:rPr>
        <w:t xml:space="preserve"> U</w:t>
      </w:r>
      <w:r w:rsidR="0003231A" w:rsidRPr="0003231A">
        <w:rPr>
          <w:rFonts w:ascii="Arial" w:eastAsia="Times New Roman" w:hAnsi="Arial" w:cs="Arial"/>
        </w:rPr>
        <w:t>nter welchen Voraussetzungen und in welchem Rahmen die Länder durch Rechts</w:t>
      </w:r>
      <w:r w:rsidR="0003231A">
        <w:rPr>
          <w:rFonts w:ascii="Arial" w:eastAsia="Times New Roman" w:hAnsi="Arial" w:cs="Arial"/>
        </w:rPr>
        <w:t>verordnung</w:t>
      </w:r>
      <w:r w:rsidR="0003231A" w:rsidRPr="0003231A">
        <w:rPr>
          <w:rFonts w:ascii="Arial" w:eastAsia="Times New Roman" w:hAnsi="Arial" w:cs="Arial"/>
        </w:rPr>
        <w:t xml:space="preserve"> Abweichungen von den gesetzlichen Regelsätzen</w:t>
      </w:r>
      <w:r w:rsidR="00F707E0">
        <w:rPr>
          <w:rFonts w:ascii="Arial" w:eastAsia="Times New Roman" w:hAnsi="Arial" w:cs="Arial"/>
        </w:rPr>
        <w:t xml:space="preserve"> im BBergG</w:t>
      </w:r>
      <w:r w:rsidR="0003231A" w:rsidRPr="0003231A">
        <w:rPr>
          <w:rFonts w:ascii="Arial" w:eastAsia="Times New Roman" w:hAnsi="Arial" w:cs="Arial"/>
        </w:rPr>
        <w:t xml:space="preserve"> festlegen können</w:t>
      </w:r>
      <w:r>
        <w:rPr>
          <w:rFonts w:ascii="Arial" w:eastAsia="Times New Roman" w:hAnsi="Arial" w:cs="Arial"/>
        </w:rPr>
        <w:t xml:space="preserve">, legt § 32 BBergG </w:t>
      </w:r>
      <w:r w:rsidRPr="001F3497">
        <w:rPr>
          <w:rFonts w:ascii="Arial" w:eastAsia="Times New Roman" w:hAnsi="Arial" w:cs="Arial"/>
          <w:bCs/>
          <w:u w:val="single"/>
        </w:rPr>
        <w:t>abschließend</w:t>
      </w:r>
      <w:r w:rsidRPr="3ACB5B59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fest</w:t>
      </w:r>
      <w:r w:rsidR="0003231A">
        <w:rPr>
          <w:rStyle w:val="Funotenzeichen"/>
          <w:rFonts w:ascii="Arial" w:eastAsia="Times New Roman" w:hAnsi="Arial" w:cs="Arial"/>
        </w:rPr>
        <w:footnoteReference w:id="9"/>
      </w:r>
      <w:r w:rsidR="0003231A" w:rsidRPr="0003231A">
        <w:rPr>
          <w:rFonts w:ascii="Arial" w:eastAsia="Times New Roman" w:hAnsi="Arial" w:cs="Arial"/>
        </w:rPr>
        <w:t>.</w:t>
      </w:r>
      <w:r w:rsidR="0003231A">
        <w:rPr>
          <w:rFonts w:ascii="Arial" w:eastAsia="Times New Roman" w:hAnsi="Arial" w:cs="Arial"/>
        </w:rPr>
        <w:t xml:space="preserve"> </w:t>
      </w:r>
      <w:r w:rsidR="0003231A" w:rsidRPr="00F707E0">
        <w:rPr>
          <w:rFonts w:ascii="Arial" w:eastAsia="Times New Roman" w:hAnsi="Arial" w:cs="Arial"/>
        </w:rPr>
        <w:t xml:space="preserve">Über die gesetzlichen Regelungen </w:t>
      </w:r>
      <w:r w:rsidR="00F707E0" w:rsidRPr="00F707E0">
        <w:rPr>
          <w:rFonts w:ascii="Arial" w:eastAsia="Times New Roman" w:hAnsi="Arial" w:cs="Arial"/>
        </w:rPr>
        <w:t xml:space="preserve">zu Feldes- und Förderabgaben </w:t>
      </w:r>
      <w:r w:rsidR="0003231A" w:rsidRPr="00F707E0">
        <w:rPr>
          <w:rFonts w:ascii="Arial" w:eastAsia="Times New Roman" w:hAnsi="Arial" w:cs="Arial"/>
        </w:rPr>
        <w:t xml:space="preserve">hinaus gibt es </w:t>
      </w:r>
      <w:r w:rsidR="0003231A" w:rsidRPr="001F3497">
        <w:rPr>
          <w:rFonts w:ascii="Arial" w:eastAsia="Times New Roman" w:hAnsi="Arial" w:cs="Arial"/>
          <w:bCs/>
          <w:u w:val="single"/>
        </w:rPr>
        <w:t>keine „freie Hand“</w:t>
      </w:r>
      <w:r w:rsidR="0003231A" w:rsidRPr="00F707E0">
        <w:rPr>
          <w:rFonts w:ascii="Arial" w:eastAsia="Times New Roman" w:hAnsi="Arial" w:cs="Arial"/>
        </w:rPr>
        <w:t xml:space="preserve"> </w:t>
      </w:r>
      <w:r w:rsidR="00F707E0" w:rsidRPr="00F707E0">
        <w:rPr>
          <w:rFonts w:ascii="Arial" w:eastAsia="Times New Roman" w:hAnsi="Arial" w:cs="Arial"/>
        </w:rPr>
        <w:t>der</w:t>
      </w:r>
      <w:r w:rsidR="0003231A" w:rsidRPr="00F707E0">
        <w:rPr>
          <w:rFonts w:ascii="Arial" w:eastAsia="Times New Roman" w:hAnsi="Arial" w:cs="Arial"/>
        </w:rPr>
        <w:t xml:space="preserve"> </w:t>
      </w:r>
      <w:r w:rsidR="0092042C" w:rsidRPr="00F707E0">
        <w:rPr>
          <w:rFonts w:ascii="Arial" w:eastAsia="Times New Roman" w:hAnsi="Arial" w:cs="Arial"/>
        </w:rPr>
        <w:t>staatlichen Stellen</w:t>
      </w:r>
      <w:r w:rsidR="0003231A" w:rsidRPr="00F707E0">
        <w:rPr>
          <w:rFonts w:ascii="Arial" w:eastAsia="Times New Roman" w:hAnsi="Arial" w:cs="Arial"/>
        </w:rPr>
        <w:t>.</w:t>
      </w:r>
      <w:r w:rsidR="0003231A">
        <w:rPr>
          <w:rFonts w:ascii="Arial" w:eastAsia="Times New Roman" w:hAnsi="Arial" w:cs="Arial"/>
        </w:rPr>
        <w:t xml:space="preserve"> </w:t>
      </w:r>
    </w:p>
    <w:p w14:paraId="75CE4ABE" w14:textId="1F752759" w:rsidR="00A00F46" w:rsidRPr="007B4CB8" w:rsidRDefault="00A00F46" w:rsidP="005B44FA">
      <w:pPr>
        <w:rPr>
          <w:rFonts w:ascii="Arial" w:eastAsia="Times New Roman" w:hAnsi="Arial" w:cs="Arial"/>
          <w:b/>
          <w:sz w:val="10"/>
          <w:szCs w:val="10"/>
        </w:rPr>
      </w:pPr>
    </w:p>
    <w:p w14:paraId="6C733807" w14:textId="6FD8F14E" w:rsidR="00A00F46" w:rsidRPr="001F3497" w:rsidRDefault="004417C7" w:rsidP="005B44FA">
      <w:pPr>
        <w:rPr>
          <w:rFonts w:ascii="Arial" w:eastAsia="Times New Roman" w:hAnsi="Arial" w:cs="Arial"/>
          <w:b/>
          <w:bCs/>
        </w:rPr>
      </w:pPr>
      <w:r w:rsidRPr="001F3497">
        <w:rPr>
          <w:rFonts w:ascii="Arial" w:eastAsia="Times New Roman" w:hAnsi="Arial" w:cs="Arial"/>
          <w:b/>
          <w:bCs/>
        </w:rPr>
        <w:t>3</w:t>
      </w:r>
      <w:r w:rsidR="001F3497">
        <w:rPr>
          <w:rFonts w:ascii="Arial" w:eastAsia="Times New Roman" w:hAnsi="Arial" w:cs="Arial"/>
          <w:b/>
          <w:bCs/>
        </w:rPr>
        <w:t>.</w:t>
      </w:r>
      <w:r w:rsidR="00A00F46" w:rsidRPr="001F3497">
        <w:rPr>
          <w:rFonts w:ascii="Arial" w:eastAsia="Times New Roman" w:hAnsi="Arial" w:cs="Arial"/>
          <w:b/>
          <w:bCs/>
        </w:rPr>
        <w:t xml:space="preserve"> Fes</w:t>
      </w:r>
      <w:r w:rsidR="009346DD" w:rsidRPr="001F3497">
        <w:rPr>
          <w:rFonts w:ascii="Arial" w:eastAsia="Times New Roman" w:hAnsi="Arial" w:cs="Arial"/>
          <w:b/>
          <w:bCs/>
        </w:rPr>
        <w:t>tlegung</w:t>
      </w:r>
      <w:r w:rsidR="00A00F46" w:rsidRPr="001F3497">
        <w:rPr>
          <w:rFonts w:ascii="Arial" w:eastAsia="Times New Roman" w:hAnsi="Arial" w:cs="Arial"/>
          <w:b/>
          <w:bCs/>
        </w:rPr>
        <w:t xml:space="preserve"> der </w:t>
      </w:r>
      <w:r w:rsidR="009346DD" w:rsidRPr="001F3497">
        <w:rPr>
          <w:rFonts w:ascii="Arial" w:eastAsia="Times New Roman" w:hAnsi="Arial" w:cs="Arial"/>
          <w:b/>
          <w:bCs/>
        </w:rPr>
        <w:t xml:space="preserve">Zahlungen der </w:t>
      </w:r>
      <w:r w:rsidR="00A00F46" w:rsidRPr="001F3497">
        <w:rPr>
          <w:rFonts w:ascii="Arial" w:eastAsia="Times New Roman" w:hAnsi="Arial" w:cs="Arial"/>
          <w:b/>
          <w:bCs/>
        </w:rPr>
        <w:t>Unternehmen</w:t>
      </w:r>
      <w:r w:rsidR="009346DD" w:rsidRPr="001F3497">
        <w:rPr>
          <w:rFonts w:ascii="Arial" w:eastAsia="Times New Roman" w:hAnsi="Arial" w:cs="Arial"/>
          <w:b/>
          <w:bCs/>
        </w:rPr>
        <w:t xml:space="preserve"> durch die Bergbehörden der Länder </w:t>
      </w:r>
    </w:p>
    <w:p w14:paraId="27680B90" w14:textId="77777777" w:rsidR="009062C4" w:rsidRDefault="007F4704" w:rsidP="005B44FA">
      <w:pPr>
        <w:rPr>
          <w:rFonts w:ascii="Arial" w:eastAsia="Times New Roman" w:hAnsi="Arial" w:cs="Arial"/>
        </w:rPr>
      </w:pPr>
      <w:r w:rsidRPr="001F3497">
        <w:rPr>
          <w:rFonts w:ascii="Arial" w:eastAsia="Times New Roman" w:hAnsi="Arial" w:cs="Arial"/>
          <w:u w:val="single"/>
        </w:rPr>
        <w:t xml:space="preserve">Die Bergbehörden setzen </w:t>
      </w:r>
      <w:r w:rsidR="009D74F0" w:rsidRPr="001F3497">
        <w:rPr>
          <w:rFonts w:ascii="Arial" w:eastAsia="Times New Roman" w:hAnsi="Arial" w:cs="Arial"/>
          <w:u w:val="single"/>
        </w:rPr>
        <w:t xml:space="preserve">die von der jeweiligen Landesregierung auf der Grundlage der bundesrechtlichen Rahmenbedingungen definierten Vorgaben (z.B. </w:t>
      </w:r>
      <w:proofErr w:type="spellStart"/>
      <w:r w:rsidR="009D74F0" w:rsidRPr="001F3497">
        <w:rPr>
          <w:rFonts w:ascii="Arial" w:eastAsia="Times New Roman" w:hAnsi="Arial" w:cs="Arial"/>
          <w:u w:val="single"/>
        </w:rPr>
        <w:t>NFördAVO</w:t>
      </w:r>
      <w:proofErr w:type="spellEnd"/>
      <w:r w:rsidR="009D74F0" w:rsidRPr="001F3497">
        <w:rPr>
          <w:rFonts w:ascii="Arial" w:eastAsia="Times New Roman" w:hAnsi="Arial" w:cs="Arial"/>
          <w:u w:val="single"/>
        </w:rPr>
        <w:t xml:space="preserve">) </w:t>
      </w:r>
      <w:r w:rsidRPr="001F3497">
        <w:rPr>
          <w:rFonts w:ascii="Arial" w:eastAsia="Times New Roman" w:hAnsi="Arial" w:cs="Arial"/>
          <w:u w:val="single"/>
        </w:rPr>
        <w:t>um.</w:t>
      </w:r>
      <w:r>
        <w:rPr>
          <w:rFonts w:ascii="Arial" w:eastAsia="Times New Roman" w:hAnsi="Arial" w:cs="Arial"/>
        </w:rPr>
        <w:t xml:space="preserve"> </w:t>
      </w:r>
    </w:p>
    <w:p w14:paraId="35336E02" w14:textId="11DB5C13" w:rsidR="005B44FA" w:rsidRDefault="005B44FA" w:rsidP="005B44F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Die Grundlage </w:t>
      </w:r>
      <w:r w:rsidR="007F4704">
        <w:rPr>
          <w:rFonts w:ascii="Arial" w:eastAsia="Times New Roman" w:hAnsi="Arial" w:cs="Arial"/>
        </w:rPr>
        <w:t xml:space="preserve">für die </w:t>
      </w:r>
      <w:r w:rsidR="009D74F0">
        <w:rPr>
          <w:rFonts w:ascii="Arial" w:eastAsia="Times New Roman" w:hAnsi="Arial" w:cs="Arial"/>
        </w:rPr>
        <w:t xml:space="preserve">Festsetzung der </w:t>
      </w:r>
      <w:r w:rsidR="007F4704">
        <w:rPr>
          <w:rFonts w:ascii="Arial" w:eastAsia="Times New Roman" w:hAnsi="Arial" w:cs="Arial"/>
        </w:rPr>
        <w:t xml:space="preserve">Abgaben </w:t>
      </w:r>
      <w:r>
        <w:rPr>
          <w:rFonts w:ascii="Arial" w:eastAsia="Times New Roman" w:hAnsi="Arial" w:cs="Arial"/>
        </w:rPr>
        <w:t xml:space="preserve">bildet ein von der Behörde nach Prüfung von Unternehmensangaben erteilter </w:t>
      </w:r>
      <w:r w:rsidRPr="001F3497">
        <w:rPr>
          <w:rFonts w:ascii="Arial" w:eastAsia="Times New Roman" w:hAnsi="Arial" w:cs="Arial"/>
          <w:u w:val="single"/>
        </w:rPr>
        <w:t>Bescheid</w:t>
      </w:r>
      <w:r w:rsidRPr="00342136">
        <w:rPr>
          <w:rFonts w:ascii="Arial" w:eastAsia="Times New Roman" w:hAnsi="Arial" w:cs="Arial"/>
        </w:rPr>
        <w:t>.</w:t>
      </w:r>
      <w:r w:rsidR="007F4704">
        <w:rPr>
          <w:rFonts w:ascii="Arial" w:eastAsia="Times New Roman" w:hAnsi="Arial" w:cs="Arial"/>
        </w:rPr>
        <w:t xml:space="preserve"> </w:t>
      </w:r>
      <w:r w:rsidR="00BA69E3">
        <w:rPr>
          <w:rFonts w:ascii="Arial" w:eastAsia="Times New Roman" w:hAnsi="Arial" w:cs="Arial"/>
        </w:rPr>
        <w:t>D</w:t>
      </w:r>
      <w:r w:rsidR="00BA69E3" w:rsidRPr="004F5C77">
        <w:rPr>
          <w:rFonts w:ascii="Arial" w:eastAsia="Times New Roman" w:hAnsi="Arial" w:cs="Arial"/>
        </w:rPr>
        <w:t xml:space="preserve">ie Abgabefestsetzung </w:t>
      </w:r>
      <w:r w:rsidR="00BA69E3">
        <w:rPr>
          <w:rFonts w:ascii="Arial" w:eastAsia="Times New Roman" w:hAnsi="Arial" w:cs="Arial"/>
        </w:rPr>
        <w:t xml:space="preserve">erfolgt </w:t>
      </w:r>
      <w:r w:rsidR="002635E4">
        <w:rPr>
          <w:rFonts w:ascii="Arial" w:eastAsia="Times New Roman" w:hAnsi="Arial" w:cs="Arial"/>
        </w:rPr>
        <w:t xml:space="preserve">dabei </w:t>
      </w:r>
      <w:r w:rsidR="00BA69E3">
        <w:rPr>
          <w:rFonts w:ascii="Arial" w:eastAsia="Times New Roman" w:hAnsi="Arial" w:cs="Arial"/>
        </w:rPr>
        <w:t>regelmäßig</w:t>
      </w:r>
      <w:r w:rsidR="00BA69E3" w:rsidRPr="004F5C77">
        <w:rPr>
          <w:rFonts w:ascii="Arial" w:eastAsia="Times New Roman" w:hAnsi="Arial" w:cs="Arial"/>
        </w:rPr>
        <w:t xml:space="preserve">, solange die tatsächlichen und rechtlichen Grundlagen der Abgabeerhebung für den Erhebungszeitraum nicht </w:t>
      </w:r>
      <w:r w:rsidR="00BA69E3">
        <w:rPr>
          <w:rFonts w:ascii="Arial" w:eastAsia="Times New Roman" w:hAnsi="Arial" w:cs="Arial"/>
        </w:rPr>
        <w:t xml:space="preserve">von der Behörde </w:t>
      </w:r>
      <w:r w:rsidR="00BA69E3" w:rsidRPr="004F5C77">
        <w:rPr>
          <w:rFonts w:ascii="Arial" w:eastAsia="Times New Roman" w:hAnsi="Arial" w:cs="Arial"/>
        </w:rPr>
        <w:t>abschließend geprüft sind, unter dem Vorbehalt der Nachprüfung, ohne dass dies einer Begründung bedarf.</w:t>
      </w:r>
      <w:r w:rsidR="00BA69E3">
        <w:rPr>
          <w:rFonts w:ascii="Arial" w:eastAsia="Times New Roman" w:hAnsi="Arial" w:cs="Arial"/>
        </w:rPr>
        <w:t xml:space="preserve"> Der Bescheid </w:t>
      </w:r>
      <w:r>
        <w:rPr>
          <w:rFonts w:ascii="Arial" w:eastAsia="Times New Roman" w:hAnsi="Arial" w:cs="Arial"/>
        </w:rPr>
        <w:t>kann als Verwaltungsakt von der Behörde bei Vorliegen gesetzlicher Voraussetzungen einseitig widerrufen oder auch gerichtlich überprüft werden.</w:t>
      </w:r>
    </w:p>
    <w:p w14:paraId="0836B110" w14:textId="4780B5D2" w:rsidR="005B44FA" w:rsidRDefault="005B44FA" w:rsidP="00B573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Alle drei Arten der Berechtigungen </w:t>
      </w:r>
      <w:r w:rsidR="007F4704">
        <w:rPr>
          <w:rFonts w:ascii="Arial" w:eastAsia="Times New Roman" w:hAnsi="Arial" w:cs="Arial"/>
        </w:rPr>
        <w:t xml:space="preserve">(Erlaubnis, Bewilligung, Bergwerkseigentum) </w:t>
      </w:r>
      <w:r>
        <w:rPr>
          <w:rFonts w:ascii="Arial" w:eastAsia="Times New Roman" w:hAnsi="Arial" w:cs="Arial"/>
        </w:rPr>
        <w:t xml:space="preserve">gewähren dem Antragsteller ein </w:t>
      </w:r>
      <w:r w:rsidRPr="001F3497">
        <w:rPr>
          <w:rFonts w:ascii="Arial" w:eastAsia="Times New Roman" w:hAnsi="Arial" w:cs="Arial"/>
          <w:u w:val="single"/>
        </w:rPr>
        <w:t>ausschließliches Recht.</w:t>
      </w:r>
      <w:r>
        <w:rPr>
          <w:rFonts w:ascii="Arial" w:eastAsia="Times New Roman" w:hAnsi="Arial" w:cs="Arial"/>
        </w:rPr>
        <w:t xml:space="preserve"> </w:t>
      </w:r>
      <w:r w:rsidRPr="001B7C7E">
        <w:rPr>
          <w:rFonts w:ascii="Arial" w:eastAsia="Times New Roman" w:hAnsi="Arial" w:cs="Arial"/>
        </w:rPr>
        <w:t xml:space="preserve">Diese Berechtigungen </w:t>
      </w:r>
      <w:r>
        <w:rPr>
          <w:rFonts w:ascii="Arial" w:eastAsia="Times New Roman" w:hAnsi="Arial" w:cs="Arial"/>
        </w:rPr>
        <w:t>werden</w:t>
      </w:r>
      <w:r w:rsidRPr="001B7C7E">
        <w:rPr>
          <w:rFonts w:ascii="Arial" w:eastAsia="Times New Roman" w:hAnsi="Arial" w:cs="Arial"/>
        </w:rPr>
        <w:t xml:space="preserve"> nur </w:t>
      </w:r>
      <w:r w:rsidRPr="001F3497">
        <w:rPr>
          <w:rFonts w:ascii="Arial" w:eastAsia="Times New Roman" w:hAnsi="Arial" w:cs="Arial"/>
          <w:u w:val="single"/>
        </w:rPr>
        <w:t>natürlichen und juristischen Personen und Personenhandelsgesellschaften</w:t>
      </w:r>
      <w:r w:rsidRPr="001B7C7E">
        <w:rPr>
          <w:rFonts w:ascii="Arial" w:eastAsia="Times New Roman" w:hAnsi="Arial" w:cs="Arial"/>
        </w:rPr>
        <w:t xml:space="preserve"> erteilt </w:t>
      </w:r>
      <w:r>
        <w:rPr>
          <w:rFonts w:ascii="Arial" w:eastAsia="Times New Roman" w:hAnsi="Arial" w:cs="Arial"/>
        </w:rPr>
        <w:t>bzw.</w:t>
      </w:r>
      <w:r w:rsidRPr="001B7C7E">
        <w:rPr>
          <w:rFonts w:ascii="Arial" w:eastAsia="Times New Roman" w:hAnsi="Arial" w:cs="Arial"/>
        </w:rPr>
        <w:t xml:space="preserve"> verliehen</w:t>
      </w:r>
      <w:r>
        <w:rPr>
          <w:rFonts w:ascii="Arial" w:eastAsia="Times New Roman" w:hAnsi="Arial" w:cs="Arial"/>
        </w:rPr>
        <w:t xml:space="preserve"> (§ 6 BBergG)</w:t>
      </w:r>
      <w:r w:rsidRPr="001B7C7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7F4704">
        <w:rPr>
          <w:rFonts w:ascii="Arial" w:eastAsia="Times New Roman" w:hAnsi="Arial" w:cs="Arial"/>
        </w:rPr>
        <w:t xml:space="preserve">Die </w:t>
      </w:r>
      <w:r w:rsidR="007F4704" w:rsidRPr="00144ECB">
        <w:rPr>
          <w:rFonts w:ascii="Arial" w:eastAsia="Times New Roman" w:hAnsi="Arial" w:cs="Arial"/>
        </w:rPr>
        <w:t>Einnahmen aus Feldes- und Förderabgaben fließen dem</w:t>
      </w:r>
      <w:r w:rsidR="007F4704" w:rsidRPr="00144ECB">
        <w:rPr>
          <w:rFonts w:ascii="Arial" w:eastAsia="Times New Roman" w:hAnsi="Arial" w:cs="Arial"/>
          <w:b/>
        </w:rPr>
        <w:t xml:space="preserve"> </w:t>
      </w:r>
      <w:r w:rsidR="007F4704" w:rsidRPr="001F3497">
        <w:rPr>
          <w:rFonts w:ascii="Arial" w:eastAsia="Times New Roman" w:hAnsi="Arial" w:cs="Arial"/>
          <w:u w:val="single"/>
        </w:rPr>
        <w:t xml:space="preserve">Bundesland </w:t>
      </w:r>
      <w:r w:rsidR="007F4704" w:rsidRPr="00144ECB">
        <w:rPr>
          <w:rFonts w:ascii="Arial" w:eastAsia="Times New Roman" w:hAnsi="Arial" w:cs="Arial"/>
        </w:rPr>
        <w:t xml:space="preserve">zu, in dem das </w:t>
      </w:r>
      <w:r w:rsidR="007F4704" w:rsidRPr="001F3497">
        <w:rPr>
          <w:rFonts w:ascii="Arial" w:eastAsia="Times New Roman" w:hAnsi="Arial" w:cs="Arial"/>
          <w:u w:val="single"/>
        </w:rPr>
        <w:t xml:space="preserve">Feld </w:t>
      </w:r>
      <w:r w:rsidR="007F4704" w:rsidRPr="00144ECB">
        <w:rPr>
          <w:rFonts w:ascii="Arial" w:eastAsia="Times New Roman" w:hAnsi="Arial" w:cs="Arial"/>
        </w:rPr>
        <w:t>der Bergbauberechtigung liegt</w:t>
      </w:r>
      <w:r w:rsidR="007F4704">
        <w:rPr>
          <w:rFonts w:ascii="Arial" w:eastAsia="Times New Roman" w:hAnsi="Arial" w:cs="Arial"/>
        </w:rPr>
        <w:t xml:space="preserve"> (§§ 30 Abs. 2, 31 Abs. 3 BBergG)</w:t>
      </w:r>
      <w:r w:rsidR="002635E4">
        <w:rPr>
          <w:rFonts w:ascii="Arial" w:eastAsia="Times New Roman" w:hAnsi="Arial" w:cs="Arial"/>
        </w:rPr>
        <w:t>, wobei Einnahmen aus der Förderabgabe in den Länderfinanzausgleich einzustellen sind.</w:t>
      </w:r>
    </w:p>
    <w:p w14:paraId="32AA3374" w14:textId="5B7E0EC3" w:rsidR="005B44FA" w:rsidRDefault="00E1232E" w:rsidP="00A00F46">
      <w:pPr>
        <w:ind w:left="284"/>
        <w:rPr>
          <w:rFonts w:ascii="Arial" w:eastAsia="Times New Roman" w:hAnsi="Arial" w:cs="Arial"/>
        </w:rPr>
      </w:pPr>
      <w:r w:rsidRPr="001F3497">
        <w:rPr>
          <w:rFonts w:ascii="Arial" w:eastAsia="Times New Roman" w:hAnsi="Arial" w:cs="Arial"/>
          <w:u w:val="single"/>
        </w:rPr>
        <w:t>Beispiel:</w:t>
      </w:r>
      <w:r>
        <w:rPr>
          <w:rFonts w:ascii="Arial" w:eastAsia="Times New Roman" w:hAnsi="Arial" w:cs="Arial"/>
        </w:rPr>
        <w:t xml:space="preserve"> </w:t>
      </w:r>
      <w:r w:rsidR="005C75CF">
        <w:rPr>
          <w:rFonts w:ascii="Arial" w:eastAsia="Times New Roman" w:hAnsi="Arial" w:cs="Arial"/>
        </w:rPr>
        <w:t xml:space="preserve">In Niedersachsen richtet sich die Festsetzung der Abgabesätze gemäß der </w:t>
      </w:r>
      <w:proofErr w:type="spellStart"/>
      <w:r w:rsidR="005C75CF">
        <w:rPr>
          <w:rFonts w:ascii="Arial" w:eastAsia="Times New Roman" w:hAnsi="Arial" w:cs="Arial"/>
        </w:rPr>
        <w:t>NFördAVO</w:t>
      </w:r>
      <w:proofErr w:type="spellEnd"/>
      <w:r w:rsidR="005C75CF">
        <w:rPr>
          <w:rFonts w:ascii="Arial" w:eastAsia="Times New Roman" w:hAnsi="Arial" w:cs="Arial"/>
        </w:rPr>
        <w:t xml:space="preserve"> im Wesentlichen nach der Art der Bodenschätze</w:t>
      </w:r>
      <w:r w:rsidR="00BA69E3">
        <w:rPr>
          <w:rFonts w:ascii="Arial" w:eastAsia="Times New Roman" w:hAnsi="Arial" w:cs="Arial"/>
        </w:rPr>
        <w:t xml:space="preserve"> sowie in Ausnahmen nach den geologischen Parametern von Lagerstättenbereichen sowie den Förderraten einzelner Bohrungen</w:t>
      </w:r>
      <w:r w:rsidR="005C75CF">
        <w:rPr>
          <w:rFonts w:ascii="Arial" w:eastAsia="Times New Roman" w:hAnsi="Arial" w:cs="Arial"/>
        </w:rPr>
        <w:t>.</w:t>
      </w:r>
      <w:r w:rsidR="002635E4">
        <w:rPr>
          <w:rFonts w:ascii="Arial" w:eastAsia="Times New Roman" w:hAnsi="Arial" w:cs="Arial"/>
        </w:rPr>
        <w:t xml:space="preserve"> Insofern werden </w:t>
      </w:r>
      <w:r w:rsidR="00D107B4">
        <w:rPr>
          <w:rFonts w:ascii="Arial" w:eastAsia="Times New Roman" w:hAnsi="Arial" w:cs="Arial"/>
        </w:rPr>
        <w:t>i</w:t>
      </w:r>
      <w:r w:rsidR="002635E4">
        <w:rPr>
          <w:rFonts w:ascii="Arial" w:eastAsia="Times New Roman" w:hAnsi="Arial" w:cs="Arial"/>
        </w:rPr>
        <w:t>n Niedersachsen generelle Abgabesätze für die im Land gewonnenen Bodenschätze festgelegt. Eine</w:t>
      </w:r>
      <w:r w:rsidR="005C75CF">
        <w:rPr>
          <w:rFonts w:ascii="Arial" w:eastAsia="Times New Roman" w:hAnsi="Arial" w:cs="Arial"/>
        </w:rPr>
        <w:t xml:space="preserve"> einzelne Lagerstätte oder ein einzelnes Unternehmensvorhaben sind dabei nicht relevant. </w:t>
      </w:r>
      <w:r>
        <w:rPr>
          <w:rFonts w:ascii="Arial" w:eastAsia="Times New Roman" w:hAnsi="Arial" w:cs="Arial"/>
        </w:rPr>
        <w:t xml:space="preserve">Die betroffenen Unternehmen erhalten </w:t>
      </w:r>
      <w:r w:rsidR="007F4704">
        <w:rPr>
          <w:rFonts w:ascii="Arial" w:eastAsia="Times New Roman" w:hAnsi="Arial" w:cs="Arial"/>
        </w:rPr>
        <w:t xml:space="preserve">von der zuständigen Behörde </w:t>
      </w:r>
      <w:r>
        <w:rPr>
          <w:rFonts w:ascii="Arial" w:eastAsia="Times New Roman" w:hAnsi="Arial" w:cs="Arial"/>
        </w:rPr>
        <w:t>pro Erhebungs</w:t>
      </w:r>
      <w:r w:rsidR="00B958CD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eitraum</w:t>
      </w:r>
      <w:r w:rsidR="007F4704">
        <w:rPr>
          <w:rFonts w:ascii="Arial" w:eastAsia="Times New Roman" w:hAnsi="Arial" w:cs="Arial"/>
        </w:rPr>
        <w:t xml:space="preserve"> einen Sammelbescheid, in dem der Gesamtbetrag für die Abgabe und die einzelnen Felder mit den entsprechenden Fördermengen des Bodenschatzes aufgeführt sind. </w:t>
      </w:r>
    </w:p>
    <w:p w14:paraId="0E093199" w14:textId="77777777" w:rsidR="008D78DD" w:rsidRDefault="008D78DD" w:rsidP="00A00F46">
      <w:pPr>
        <w:ind w:left="284"/>
        <w:rPr>
          <w:rFonts w:ascii="Arial" w:eastAsia="Times New Roman" w:hAnsi="Arial" w:cs="Arial"/>
        </w:rPr>
      </w:pPr>
    </w:p>
    <w:p w14:paraId="611F1704" w14:textId="3E4A593B" w:rsidR="001F3497" w:rsidRPr="001F3497" w:rsidRDefault="004417C7" w:rsidP="00B57362">
      <w:pPr>
        <w:rPr>
          <w:rFonts w:ascii="Arial" w:eastAsia="Times New Roman" w:hAnsi="Arial" w:cs="Arial"/>
          <w:b/>
          <w:bCs/>
        </w:rPr>
      </w:pPr>
      <w:r w:rsidRPr="001F3497">
        <w:rPr>
          <w:rFonts w:ascii="Arial" w:eastAsia="Times New Roman" w:hAnsi="Arial" w:cs="Arial"/>
          <w:b/>
          <w:bCs/>
        </w:rPr>
        <w:lastRenderedPageBreak/>
        <w:t>4</w:t>
      </w:r>
      <w:r w:rsidR="00A00F46" w:rsidRPr="001F3497">
        <w:rPr>
          <w:rFonts w:ascii="Arial" w:eastAsia="Times New Roman" w:hAnsi="Arial" w:cs="Arial"/>
          <w:b/>
          <w:bCs/>
        </w:rPr>
        <w:t xml:space="preserve">. </w:t>
      </w:r>
      <w:r w:rsidR="009062C4">
        <w:rPr>
          <w:rFonts w:ascii="Arial" w:eastAsia="Times New Roman" w:hAnsi="Arial" w:cs="Arial"/>
          <w:b/>
          <w:bCs/>
        </w:rPr>
        <w:t>Ergebnis</w:t>
      </w:r>
    </w:p>
    <w:p w14:paraId="1F8D4432" w14:textId="509C2EC1" w:rsidR="007E1722" w:rsidRPr="007E1722" w:rsidRDefault="007E1722" w:rsidP="007E172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Die Desaggregierung von Daten erfolgt im Einklang mit den Vorgaben des EITI Standards. Ein</w:t>
      </w:r>
      <w:r>
        <w:rPr>
          <w:rFonts w:ascii="Arial" w:eastAsia="Times New Roman" w:hAnsi="Arial" w:cs="Arial"/>
        </w:rPr>
        <w:t xml:space="preserve"> Projekt</w:t>
      </w:r>
      <w:r>
        <w:rPr>
          <w:rFonts w:ascii="Arial" w:eastAsia="Times New Roman" w:hAnsi="Arial" w:cs="Arial"/>
        </w:rPr>
        <w:t xml:space="preserve"> im Sinne der </w:t>
      </w:r>
      <w:r>
        <w:rPr>
          <w:rFonts w:ascii="Arial" w:eastAsia="Times New Roman" w:hAnsi="Arial" w:cs="Arial"/>
        </w:rPr>
        <w:t>D-EITI</w:t>
      </w:r>
      <w:r>
        <w:rPr>
          <w:rFonts w:ascii="Arial" w:eastAsia="Times New Roman" w:hAnsi="Arial" w:cs="Arial"/>
        </w:rPr>
        <w:t xml:space="preserve"> ist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eine</w:t>
      </w:r>
      <w:r>
        <w:rPr>
          <w:rFonts w:ascii="Arial" w:eastAsia="Times New Roman" w:hAnsi="Arial" w:cs="Arial"/>
        </w:rPr>
        <w:t xml:space="preserve"> </w:t>
      </w:r>
      <w:r w:rsidRPr="007E1722">
        <w:rPr>
          <w:rFonts w:ascii="Arial" w:hAnsi="Arial" w:cs="Arial"/>
          <w:u w:val="single"/>
        </w:rPr>
        <w:t>Zusammenfassung operativer Tätigkeiten</w:t>
      </w:r>
      <w:r w:rsidRPr="008E71D2">
        <w:rPr>
          <w:rFonts w:ascii="Arial" w:hAnsi="Arial" w:cs="Arial"/>
        </w:rPr>
        <w:t>, die die Grundlage für Zahlungsverpflichtungen gegenüber einer staatlichen Stelle bilde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</w:t>
      </w:r>
    </w:p>
    <w:p w14:paraId="097DE62B" w14:textId="47B7DAA0" w:rsidR="007E1722" w:rsidRPr="007557F8" w:rsidRDefault="007E1722" w:rsidP="007E1722">
      <w:pPr>
        <w:rPr>
          <w:rFonts w:ascii="Arial" w:eastAsia="Times New Roman" w:hAnsi="Arial" w:cs="Arial"/>
        </w:rPr>
      </w:pPr>
      <w:r w:rsidRPr="005F2FAD">
        <w:rPr>
          <w:rFonts w:ascii="Arial" w:eastAsia="Times New Roman" w:hAnsi="Arial" w:cs="Arial"/>
          <w:bCs/>
        </w:rPr>
        <w:t xml:space="preserve">Rechtsgrundlage </w:t>
      </w:r>
      <w:r>
        <w:rPr>
          <w:rFonts w:ascii="Arial" w:eastAsia="Times New Roman" w:hAnsi="Arial" w:cs="Arial"/>
          <w:bCs/>
        </w:rPr>
        <w:t xml:space="preserve">für die Festlegung der Zahlungsverpflichtungen aus Feldes- und Förderabgaben ist das BBergG. </w:t>
      </w:r>
      <w:r w:rsidRPr="005F2FAD">
        <w:rPr>
          <w:rFonts w:ascii="Arial" w:eastAsia="Times New Roman" w:hAnsi="Arial" w:cs="Arial"/>
          <w:bCs/>
        </w:rPr>
        <w:t xml:space="preserve">Die Bergbehörden legen die Feldes- und Förderabgaben nach </w:t>
      </w:r>
      <w:r>
        <w:rPr>
          <w:rFonts w:ascii="Arial" w:eastAsia="Times New Roman" w:hAnsi="Arial" w:cs="Arial"/>
          <w:bCs/>
        </w:rPr>
        <w:t xml:space="preserve">den hierfür geltenden </w:t>
      </w:r>
      <w:r w:rsidRPr="005F2FAD">
        <w:rPr>
          <w:rFonts w:ascii="Arial" w:eastAsia="Times New Roman" w:hAnsi="Arial" w:cs="Arial"/>
          <w:bCs/>
        </w:rPr>
        <w:t>gesetzlichen Regelungen fest.</w:t>
      </w:r>
    </w:p>
    <w:p w14:paraId="3DF3B558" w14:textId="12BA7AFB" w:rsidR="007E1722" w:rsidRDefault="007E1722" w:rsidP="007E1722">
      <w:pPr>
        <w:rPr>
          <w:rFonts w:ascii="Arial" w:eastAsia="Times New Roman" w:hAnsi="Arial" w:cs="Arial"/>
        </w:rPr>
      </w:pPr>
      <w:r w:rsidRPr="00A00F46">
        <w:rPr>
          <w:rFonts w:ascii="Arial" w:eastAsia="Times New Roman" w:hAnsi="Arial" w:cs="Arial"/>
        </w:rPr>
        <w:t xml:space="preserve">Nach der Systematik des </w:t>
      </w:r>
      <w:r>
        <w:rPr>
          <w:rFonts w:ascii="Arial" w:eastAsia="Times New Roman" w:hAnsi="Arial" w:cs="Arial"/>
        </w:rPr>
        <w:t>Bundesbergg</w:t>
      </w:r>
      <w:r w:rsidRPr="00A00F46">
        <w:rPr>
          <w:rFonts w:ascii="Arial" w:eastAsia="Times New Roman" w:hAnsi="Arial" w:cs="Arial"/>
        </w:rPr>
        <w:t xml:space="preserve">esetzes steht auf der einen Seite die </w:t>
      </w:r>
      <w:r w:rsidRPr="007E1722">
        <w:rPr>
          <w:rFonts w:ascii="Arial" w:eastAsia="Times New Roman" w:hAnsi="Arial" w:cs="Arial"/>
          <w:u w:val="single"/>
        </w:rPr>
        <w:t>Ebene der Unternehmen</w:t>
      </w:r>
      <w:r w:rsidRPr="00A00F46">
        <w:rPr>
          <w:rFonts w:ascii="Arial" w:eastAsia="Times New Roman" w:hAnsi="Arial" w:cs="Arial"/>
          <w:b/>
        </w:rPr>
        <w:t xml:space="preserve"> </w:t>
      </w:r>
      <w:r w:rsidRPr="00A00F46">
        <w:rPr>
          <w:rFonts w:ascii="Arial" w:eastAsia="Times New Roman" w:hAnsi="Arial" w:cs="Arial"/>
        </w:rPr>
        <w:t xml:space="preserve">als Adressaten der Bescheide und Zahlungsverpflichtete. Auf der anderen Seite steht die </w:t>
      </w:r>
      <w:r w:rsidRPr="007E1722">
        <w:rPr>
          <w:rFonts w:ascii="Arial" w:eastAsia="Times New Roman" w:hAnsi="Arial" w:cs="Arial"/>
          <w:u w:val="single"/>
        </w:rPr>
        <w:t>Ebene der Bundesländer</w:t>
      </w:r>
      <w:r w:rsidRPr="007E1722">
        <w:rPr>
          <w:rFonts w:ascii="Arial" w:eastAsia="Times New Roman" w:hAnsi="Arial" w:cs="Arial"/>
        </w:rPr>
        <w:t xml:space="preserve"> </w:t>
      </w:r>
      <w:r w:rsidRPr="00A00F46">
        <w:rPr>
          <w:rFonts w:ascii="Arial" w:eastAsia="Times New Roman" w:hAnsi="Arial" w:cs="Arial"/>
        </w:rPr>
        <w:t>als Zahlungsempfänger.</w:t>
      </w:r>
      <w:r>
        <w:rPr>
          <w:rFonts w:ascii="Arial" w:eastAsia="Times New Roman" w:hAnsi="Arial" w:cs="Arial"/>
        </w:rPr>
        <w:t xml:space="preserve"> </w:t>
      </w:r>
    </w:p>
    <w:p w14:paraId="4980D3E0" w14:textId="0373E511" w:rsidR="007E1722" w:rsidRDefault="007E1722" w:rsidP="007E172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Folglich </w:t>
      </w:r>
      <w:r>
        <w:rPr>
          <w:rFonts w:ascii="Arial" w:eastAsia="Times New Roman" w:hAnsi="Arial" w:cs="Arial"/>
        </w:rPr>
        <w:t>resultiert der</w:t>
      </w:r>
      <w:r w:rsidRPr="00A73C1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Zahlungsstrom der Feldes- und Förderabgaben aus der Gesamtheit der operativen Tätigkeiten des rohstofffördernden </w:t>
      </w:r>
      <w:r w:rsidRPr="007E1722">
        <w:rPr>
          <w:rFonts w:ascii="Arial" w:eastAsia="Times New Roman" w:hAnsi="Arial" w:cs="Arial"/>
          <w:u w:val="single"/>
        </w:rPr>
        <w:t xml:space="preserve">Unternehmens </w:t>
      </w:r>
      <w:r w:rsidRPr="007E1722">
        <w:rPr>
          <w:rFonts w:ascii="Arial" w:eastAsia="Times New Roman" w:hAnsi="Arial" w:cs="Arial"/>
          <w:bCs/>
          <w:u w:val="single"/>
        </w:rPr>
        <w:t>pro Bundesland</w:t>
      </w:r>
      <w:r>
        <w:rPr>
          <w:rFonts w:ascii="Arial" w:eastAsia="Times New Roman" w:hAnsi="Arial" w:cs="Arial"/>
        </w:rPr>
        <w:t xml:space="preserve">. </w:t>
      </w:r>
    </w:p>
    <w:p w14:paraId="2D802FAF" w14:textId="535B6DDA" w:rsidR="0067367B" w:rsidRDefault="0067367B" w:rsidP="004417C7">
      <w:pPr>
        <w:rPr>
          <w:rFonts w:ascii="Arial" w:hAnsi="Arial" w:cs="Arial"/>
        </w:rPr>
      </w:pPr>
      <w:bookmarkStart w:id="0" w:name="_GoBack"/>
      <w:bookmarkEnd w:id="0"/>
    </w:p>
    <w:sectPr w:rsidR="0067367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C7B2" w14:textId="77777777" w:rsidR="00D61FF2" w:rsidRDefault="00D61FF2" w:rsidP="001A2C8A">
      <w:pPr>
        <w:spacing w:after="0" w:line="240" w:lineRule="auto"/>
      </w:pPr>
      <w:r>
        <w:separator/>
      </w:r>
    </w:p>
  </w:endnote>
  <w:endnote w:type="continuationSeparator" w:id="0">
    <w:p w14:paraId="7135CDFD" w14:textId="77777777" w:rsidR="00D61FF2" w:rsidRDefault="00D61FF2" w:rsidP="001A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308681"/>
      <w:docPartObj>
        <w:docPartGallery w:val="Page Numbers (Bottom of Page)"/>
        <w:docPartUnique/>
      </w:docPartObj>
    </w:sdtPr>
    <w:sdtEndPr/>
    <w:sdtContent>
      <w:p w14:paraId="315183D9" w14:textId="56C04206" w:rsidR="001A2C8A" w:rsidRDefault="001A2C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EC491" w14:textId="77777777" w:rsidR="001A2C8A" w:rsidRDefault="001A2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0F82" w14:textId="77777777" w:rsidR="00D61FF2" w:rsidRDefault="00D61FF2" w:rsidP="001A2C8A">
      <w:pPr>
        <w:spacing w:after="0" w:line="240" w:lineRule="auto"/>
      </w:pPr>
      <w:r>
        <w:separator/>
      </w:r>
    </w:p>
  </w:footnote>
  <w:footnote w:type="continuationSeparator" w:id="0">
    <w:p w14:paraId="58B84715" w14:textId="77777777" w:rsidR="00D61FF2" w:rsidRDefault="00D61FF2" w:rsidP="001A2C8A">
      <w:pPr>
        <w:spacing w:after="0" w:line="240" w:lineRule="auto"/>
      </w:pPr>
      <w:r>
        <w:continuationSeparator/>
      </w:r>
    </w:p>
  </w:footnote>
  <w:footnote w:id="1">
    <w:p w14:paraId="2F137383" w14:textId="16140C42" w:rsidR="00993F3D" w:rsidRDefault="00993F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93F3D">
        <w:rPr>
          <w:rFonts w:ascii="Arial" w:hAnsi="Arial" w:cs="Arial"/>
          <w:sz w:val="18"/>
          <w:szCs w:val="18"/>
        </w:rPr>
        <w:t xml:space="preserve">Förderabgaben in </w:t>
      </w:r>
      <w:r w:rsidR="00301CE3">
        <w:rPr>
          <w:rFonts w:ascii="Arial" w:hAnsi="Arial" w:cs="Arial"/>
          <w:sz w:val="18"/>
          <w:szCs w:val="18"/>
        </w:rPr>
        <w:t xml:space="preserve">Kapitel 5.b.ii., </w:t>
      </w:r>
      <w:r w:rsidRPr="00993F3D">
        <w:rPr>
          <w:rFonts w:ascii="Arial" w:hAnsi="Arial" w:cs="Arial"/>
          <w:sz w:val="18"/>
          <w:szCs w:val="18"/>
        </w:rPr>
        <w:t xml:space="preserve">Tabelle 5, S. 71, </w:t>
      </w:r>
      <w:proofErr w:type="spellStart"/>
      <w:r w:rsidRPr="00993F3D">
        <w:rPr>
          <w:rFonts w:ascii="Arial" w:hAnsi="Arial" w:cs="Arial"/>
          <w:sz w:val="18"/>
          <w:szCs w:val="18"/>
        </w:rPr>
        <w:t>Feldesabgaben</w:t>
      </w:r>
      <w:proofErr w:type="spellEnd"/>
      <w:r w:rsidRPr="00993F3D">
        <w:rPr>
          <w:rFonts w:ascii="Arial" w:hAnsi="Arial" w:cs="Arial"/>
          <w:sz w:val="18"/>
          <w:szCs w:val="18"/>
        </w:rPr>
        <w:t xml:space="preserve"> in Tabelle 6, S. 72</w:t>
      </w:r>
      <w:r w:rsidR="00C3156F">
        <w:rPr>
          <w:rFonts w:ascii="Arial" w:hAnsi="Arial" w:cs="Arial"/>
          <w:sz w:val="18"/>
          <w:szCs w:val="18"/>
        </w:rPr>
        <w:t xml:space="preserve"> sowie Daten aufgeschlüsselt nach Bundesländern und Unternehmen auf dem Berichtsportal, Datenmeldungen 2020 (Tabellenblatt </w:t>
      </w:r>
      <w:proofErr w:type="spellStart"/>
      <w:r w:rsidR="00C3156F">
        <w:rPr>
          <w:rFonts w:ascii="Arial" w:hAnsi="Arial" w:cs="Arial"/>
          <w:sz w:val="18"/>
          <w:szCs w:val="18"/>
        </w:rPr>
        <w:t>Feldes_Förderabgabe</w:t>
      </w:r>
      <w:proofErr w:type="spellEnd"/>
      <w:r w:rsidR="00C3156F">
        <w:rPr>
          <w:rFonts w:ascii="Arial" w:hAnsi="Arial" w:cs="Arial"/>
          <w:sz w:val="18"/>
          <w:szCs w:val="18"/>
        </w:rPr>
        <w:t>).</w:t>
      </w:r>
    </w:p>
  </w:footnote>
  <w:footnote w:id="2">
    <w:p w14:paraId="2D20485A" w14:textId="288FD834" w:rsidR="00301CE3" w:rsidRDefault="00301CE3">
      <w:pPr>
        <w:pStyle w:val="Funotentext"/>
      </w:pPr>
      <w:r>
        <w:rPr>
          <w:rStyle w:val="Funotenzeichen"/>
        </w:rPr>
        <w:footnoteRef/>
      </w:r>
      <w:r>
        <w:t xml:space="preserve"> Kapitel 10 des UV, Tabelle 14 (Seite 181-182) und Tabelle 15 (Seite 183).</w:t>
      </w:r>
    </w:p>
  </w:footnote>
  <w:footnote w:id="3">
    <w:p w14:paraId="27580519" w14:textId="7062C76C" w:rsidR="00993F3D" w:rsidRDefault="00993F3D">
      <w:pPr>
        <w:pStyle w:val="Funotentext"/>
      </w:pPr>
      <w:r>
        <w:rPr>
          <w:rStyle w:val="Funotenzeichen"/>
        </w:rPr>
        <w:footnoteRef/>
      </w:r>
      <w:r>
        <w:t xml:space="preserve"> Seite 154f.</w:t>
      </w:r>
    </w:p>
  </w:footnote>
  <w:footnote w:id="4">
    <w:p w14:paraId="68A2A461" w14:textId="1C3DB0E6" w:rsidR="00B861C5" w:rsidRDefault="00B861C5">
      <w:pPr>
        <w:pStyle w:val="Funotentext"/>
      </w:pPr>
      <w:r>
        <w:rPr>
          <w:rStyle w:val="Funotenzeichen"/>
        </w:rPr>
        <w:footnoteRef/>
      </w:r>
      <w:r>
        <w:t xml:space="preserve"> Kapitel 10.a.iv., Seite 154.</w:t>
      </w:r>
    </w:p>
  </w:footnote>
  <w:footnote w:id="5">
    <w:p w14:paraId="76C36E6A" w14:textId="4724E428" w:rsidR="008E71D2" w:rsidRDefault="008E71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1CE3">
        <w:t>https://www.gesetze-im-internet.de/hgb/__341r.html</w:t>
      </w:r>
    </w:p>
  </w:footnote>
  <w:footnote w:id="6">
    <w:p w14:paraId="744BA1F8" w14:textId="382516B3" w:rsidR="001B7C7E" w:rsidRDefault="001B7C7E">
      <w:pPr>
        <w:pStyle w:val="Funotentext"/>
      </w:pPr>
      <w:r>
        <w:rPr>
          <w:rStyle w:val="Funotenzeichen"/>
        </w:rPr>
        <w:footnoteRef/>
      </w:r>
      <w:r>
        <w:t xml:space="preserve"> Vgl. Kapitel 10.a.ii., Seite 147.</w:t>
      </w:r>
    </w:p>
  </w:footnote>
  <w:footnote w:id="7">
    <w:p w14:paraId="53C3D02D" w14:textId="77777777" w:rsidR="00144ECB" w:rsidRDefault="00144ECB" w:rsidP="00144EC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907AC">
        <w:t>https://www.gesetze-im-internet.de/bbergg/__32.html</w:t>
      </w:r>
    </w:p>
  </w:footnote>
  <w:footnote w:id="8">
    <w:p w14:paraId="21B17D74" w14:textId="77777777" w:rsidR="00144ECB" w:rsidRDefault="00144ECB" w:rsidP="00144ECB">
      <w:pPr>
        <w:pStyle w:val="Funotentext"/>
      </w:pPr>
      <w:r>
        <w:rPr>
          <w:rStyle w:val="Funotenzeichen"/>
        </w:rPr>
        <w:footnoteRef/>
      </w:r>
      <w:r>
        <w:t xml:space="preserve"> Niedersächsische Verordnung über die Feldes- und die Förderabgabe (</w:t>
      </w:r>
      <w:proofErr w:type="spellStart"/>
      <w:r>
        <w:t>NFördAVO</w:t>
      </w:r>
      <w:proofErr w:type="spellEnd"/>
      <w:r>
        <w:t>) vom 10. Dezember 2010.</w:t>
      </w:r>
    </w:p>
    <w:p w14:paraId="31267C72" w14:textId="77777777" w:rsidR="00144ECB" w:rsidRDefault="00144ECB" w:rsidP="00144ECB">
      <w:pPr>
        <w:pStyle w:val="Funotentext"/>
      </w:pPr>
      <w:r>
        <w:t>(</w:t>
      </w:r>
      <w:proofErr w:type="spellStart"/>
      <w:r>
        <w:t>Nds</w:t>
      </w:r>
      <w:proofErr w:type="spellEnd"/>
      <w:r>
        <w:t xml:space="preserve">. GVBl. S. 564, </w:t>
      </w:r>
      <w:r w:rsidRPr="006E6A0E">
        <w:t xml:space="preserve">Zuletzt geändert durch Art. 1 </w:t>
      </w:r>
      <w:proofErr w:type="spellStart"/>
      <w:r w:rsidRPr="006E6A0E">
        <w:t>ÄndVO</w:t>
      </w:r>
      <w:proofErr w:type="spellEnd"/>
      <w:r w:rsidRPr="006E6A0E">
        <w:t xml:space="preserve"> vom 24.1.2023 (</w:t>
      </w:r>
      <w:proofErr w:type="spellStart"/>
      <w:r w:rsidRPr="006E6A0E">
        <w:t>Nds</w:t>
      </w:r>
      <w:proofErr w:type="spellEnd"/>
      <w:r w:rsidRPr="006E6A0E">
        <w:t>. GVBl. S. 2)</w:t>
      </w:r>
      <w:r>
        <w:t xml:space="preserve">, abrufbar unter: </w:t>
      </w:r>
      <w:r w:rsidRPr="00B63110">
        <w:t>https://voris.wolterskluwer-online.de/browse/document/43fd6089-77a9-32fb-93a4-d046bcaaccac</w:t>
      </w:r>
    </w:p>
  </w:footnote>
  <w:footnote w:id="9">
    <w:p w14:paraId="0539B5FF" w14:textId="4F196055" w:rsidR="0003231A" w:rsidRDefault="0003231A">
      <w:pPr>
        <w:pStyle w:val="Funotentext"/>
      </w:pPr>
      <w:r>
        <w:rPr>
          <w:rStyle w:val="Funotenzeichen"/>
        </w:rPr>
        <w:footnoteRef/>
      </w:r>
      <w:r>
        <w:t xml:space="preserve"> W</w:t>
      </w:r>
      <w:r w:rsidRPr="0003231A">
        <w:t>eller/Ulrich Kullmann</w:t>
      </w:r>
      <w:r>
        <w:t xml:space="preserve"> BBergG 2012 § 32 </w:t>
      </w:r>
      <w:proofErr w:type="spellStart"/>
      <w:r>
        <w:t>Rn</w:t>
      </w:r>
      <w:proofErr w:type="spellEnd"/>
      <w:r>
        <w:t xml:space="preserve">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92A6" w14:textId="369C37A6" w:rsidR="001A2C8A" w:rsidRPr="00020AD1" w:rsidRDefault="00020AD1" w:rsidP="00020AD1">
    <w:pPr>
      <w:pStyle w:val="Kopfzeile"/>
      <w:jc w:val="right"/>
    </w:pPr>
    <w:r>
      <w:rPr>
        <w:noProof/>
      </w:rPr>
      <w:drawing>
        <wp:inline distT="0" distB="0" distL="0" distR="0" wp14:anchorId="220F9D78" wp14:editId="4C18C6FB">
          <wp:extent cx="1476375" cy="5048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477"/>
    <w:multiLevelType w:val="hybridMultilevel"/>
    <w:tmpl w:val="259AD572"/>
    <w:lvl w:ilvl="0" w:tplc="528063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EA1"/>
    <w:multiLevelType w:val="hybridMultilevel"/>
    <w:tmpl w:val="A1DE4CFE"/>
    <w:lvl w:ilvl="0" w:tplc="883E1B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F297E"/>
    <w:multiLevelType w:val="hybridMultilevel"/>
    <w:tmpl w:val="E67CC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FD"/>
    <w:rsid w:val="00020AD1"/>
    <w:rsid w:val="000233FA"/>
    <w:rsid w:val="00026E94"/>
    <w:rsid w:val="0003231A"/>
    <w:rsid w:val="00072943"/>
    <w:rsid w:val="000B61CB"/>
    <w:rsid w:val="00137247"/>
    <w:rsid w:val="00144ECB"/>
    <w:rsid w:val="0014748A"/>
    <w:rsid w:val="001622FD"/>
    <w:rsid w:val="001626B6"/>
    <w:rsid w:val="00175762"/>
    <w:rsid w:val="00177E5D"/>
    <w:rsid w:val="001A2C8A"/>
    <w:rsid w:val="001B44D1"/>
    <w:rsid w:val="001B7C7E"/>
    <w:rsid w:val="001F3497"/>
    <w:rsid w:val="0021557E"/>
    <w:rsid w:val="002635E4"/>
    <w:rsid w:val="00265396"/>
    <w:rsid w:val="00301CE3"/>
    <w:rsid w:val="003131B7"/>
    <w:rsid w:val="00315E56"/>
    <w:rsid w:val="00342136"/>
    <w:rsid w:val="00360F28"/>
    <w:rsid w:val="003E71EC"/>
    <w:rsid w:val="003F3965"/>
    <w:rsid w:val="003F7ECC"/>
    <w:rsid w:val="004417C7"/>
    <w:rsid w:val="004430C9"/>
    <w:rsid w:val="00495A35"/>
    <w:rsid w:val="004F5C77"/>
    <w:rsid w:val="00525BB5"/>
    <w:rsid w:val="0053521F"/>
    <w:rsid w:val="00561EA0"/>
    <w:rsid w:val="00575951"/>
    <w:rsid w:val="005B44FA"/>
    <w:rsid w:val="005C75CF"/>
    <w:rsid w:val="005F2FAD"/>
    <w:rsid w:val="00654F71"/>
    <w:rsid w:val="0067367B"/>
    <w:rsid w:val="006A15CB"/>
    <w:rsid w:val="006C0BB1"/>
    <w:rsid w:val="006E6A0E"/>
    <w:rsid w:val="007535F3"/>
    <w:rsid w:val="00754C80"/>
    <w:rsid w:val="007557F8"/>
    <w:rsid w:val="00791F42"/>
    <w:rsid w:val="007B4CB8"/>
    <w:rsid w:val="007D5F8B"/>
    <w:rsid w:val="007E1722"/>
    <w:rsid w:val="007F2B03"/>
    <w:rsid w:val="007F4517"/>
    <w:rsid w:val="007F4704"/>
    <w:rsid w:val="00815D08"/>
    <w:rsid w:val="00884F06"/>
    <w:rsid w:val="00896418"/>
    <w:rsid w:val="008C74D7"/>
    <w:rsid w:val="008D78DD"/>
    <w:rsid w:val="008E71D2"/>
    <w:rsid w:val="009062C4"/>
    <w:rsid w:val="0092042C"/>
    <w:rsid w:val="009346DD"/>
    <w:rsid w:val="0094571C"/>
    <w:rsid w:val="009636F3"/>
    <w:rsid w:val="00963A80"/>
    <w:rsid w:val="00993F3D"/>
    <w:rsid w:val="009944B1"/>
    <w:rsid w:val="009A0B1D"/>
    <w:rsid w:val="009A5ABD"/>
    <w:rsid w:val="009C27FB"/>
    <w:rsid w:val="009D74F0"/>
    <w:rsid w:val="009E4952"/>
    <w:rsid w:val="00A00F46"/>
    <w:rsid w:val="00A26FA3"/>
    <w:rsid w:val="00A3444D"/>
    <w:rsid w:val="00A44D4F"/>
    <w:rsid w:val="00A73C1F"/>
    <w:rsid w:val="00A85424"/>
    <w:rsid w:val="00AE59A9"/>
    <w:rsid w:val="00B22B67"/>
    <w:rsid w:val="00B55B65"/>
    <w:rsid w:val="00B57362"/>
    <w:rsid w:val="00B63110"/>
    <w:rsid w:val="00B81462"/>
    <w:rsid w:val="00B861C5"/>
    <w:rsid w:val="00B907AC"/>
    <w:rsid w:val="00B958CD"/>
    <w:rsid w:val="00BA69E3"/>
    <w:rsid w:val="00BB599E"/>
    <w:rsid w:val="00BC49C0"/>
    <w:rsid w:val="00BD5845"/>
    <w:rsid w:val="00C05D91"/>
    <w:rsid w:val="00C2635B"/>
    <w:rsid w:val="00C3156F"/>
    <w:rsid w:val="00C70A3E"/>
    <w:rsid w:val="00C84F84"/>
    <w:rsid w:val="00CB053A"/>
    <w:rsid w:val="00D01C11"/>
    <w:rsid w:val="00D107B4"/>
    <w:rsid w:val="00D222AC"/>
    <w:rsid w:val="00D61FF2"/>
    <w:rsid w:val="00DC1E01"/>
    <w:rsid w:val="00E024B6"/>
    <w:rsid w:val="00E03523"/>
    <w:rsid w:val="00E06E13"/>
    <w:rsid w:val="00E1232E"/>
    <w:rsid w:val="00E16986"/>
    <w:rsid w:val="00E40B3E"/>
    <w:rsid w:val="00E74A50"/>
    <w:rsid w:val="00E85C52"/>
    <w:rsid w:val="00E9464C"/>
    <w:rsid w:val="00EC5088"/>
    <w:rsid w:val="00F23FFA"/>
    <w:rsid w:val="00F707E0"/>
    <w:rsid w:val="00F87081"/>
    <w:rsid w:val="00FC2BC1"/>
    <w:rsid w:val="0467022B"/>
    <w:rsid w:val="0602D28C"/>
    <w:rsid w:val="09038475"/>
    <w:rsid w:val="0A9F54D6"/>
    <w:rsid w:val="0C3B2537"/>
    <w:rsid w:val="1F28FAB3"/>
    <w:rsid w:val="271E7B62"/>
    <w:rsid w:val="2C73F870"/>
    <w:rsid w:val="3ACB5B59"/>
    <w:rsid w:val="450F692A"/>
    <w:rsid w:val="55EFB320"/>
    <w:rsid w:val="5780036A"/>
    <w:rsid w:val="5E7C6F2A"/>
    <w:rsid w:val="6DD9AF56"/>
    <w:rsid w:val="7FC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0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2C8A"/>
    <w:pPr>
      <w:spacing w:after="0" w:line="240" w:lineRule="auto"/>
      <w:ind w:left="720"/>
      <w:contextualSpacing/>
    </w:pPr>
    <w:rPr>
      <w:rFonts w:ascii="Calibri" w:hAnsi="Calibri" w:cs="Calibri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A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C8A"/>
  </w:style>
  <w:style w:type="paragraph" w:styleId="Fuzeile">
    <w:name w:val="footer"/>
    <w:basedOn w:val="Standard"/>
    <w:link w:val="FuzeileZchn"/>
    <w:uiPriority w:val="99"/>
    <w:unhideWhenUsed/>
    <w:rsid w:val="001A2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C8A"/>
  </w:style>
  <w:style w:type="character" w:styleId="Hyperlink">
    <w:name w:val="Hyperlink"/>
    <w:basedOn w:val="Absatz-Standardschriftart"/>
    <w:uiPriority w:val="99"/>
    <w:unhideWhenUsed/>
    <w:rsid w:val="00EC50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08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3F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3F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3F3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59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59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59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9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9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9A9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AE59A9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AE59A9"/>
    <w:rPr>
      <w:rFonts w:ascii="Calibri" w:hAnsi="Calibri" w:cs="Calibri"/>
    </w:rPr>
  </w:style>
  <w:style w:type="paragraph" w:styleId="berarbeitung">
    <w:name w:val="Revision"/>
    <w:hidden/>
    <w:uiPriority w:val="99"/>
    <w:semiHidden/>
    <w:rsid w:val="00E94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78BD-C499-4B5A-AFF0-2F2E9120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2023-09-05T13:55:00Z</dcterms:created>
  <dcterms:modified xsi:type="dcterms:W3CDTF">2023-09-22T11:54:00Z</dcterms:modified>
</cp:coreProperties>
</file>